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0B" w:rsidRPr="00E95A98" w:rsidRDefault="009C330B" w:rsidP="00864DDA">
      <w:pPr>
        <w:tabs>
          <w:tab w:val="left" w:pos="3202"/>
        </w:tabs>
        <w:spacing w:line="360" w:lineRule="auto"/>
        <w:ind w:firstLine="3204"/>
        <w:jc w:val="center"/>
        <w:rPr>
          <w:rStyle w:val="shorttext"/>
          <w:rFonts w:ascii="Times New Roman" w:hAnsi="Times New Roman" w:cs="Times New Roman"/>
          <w:b/>
          <w:sz w:val="32"/>
          <w:szCs w:val="32"/>
        </w:rPr>
      </w:pPr>
      <w:r w:rsidRPr="00E95A98">
        <w:rPr>
          <w:rStyle w:val="shorttext"/>
          <w:rFonts w:ascii="Times New Roman" w:hAnsi="Times New Roman" w:cs="Times New Roman"/>
          <w:b/>
          <w:sz w:val="32"/>
          <w:szCs w:val="32"/>
        </w:rPr>
        <w:t>ЗВІТ</w:t>
      </w:r>
    </w:p>
    <w:p w:rsidR="009C330B" w:rsidRPr="00E95A98" w:rsidRDefault="009C330B" w:rsidP="00F80802">
      <w:pPr>
        <w:tabs>
          <w:tab w:val="left" w:pos="3202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A98">
        <w:rPr>
          <w:rStyle w:val="shorttext"/>
          <w:rFonts w:ascii="Times New Roman" w:hAnsi="Times New Roman" w:cs="Times New Roman"/>
          <w:b/>
          <w:sz w:val="32"/>
          <w:szCs w:val="32"/>
        </w:rPr>
        <w:t xml:space="preserve">в. о. ректора ТНУ імені В. І. Вернадського </w:t>
      </w:r>
      <w:r w:rsidR="00F80802" w:rsidRPr="00E95A98">
        <w:rPr>
          <w:rStyle w:val="shorttext"/>
          <w:rFonts w:ascii="Times New Roman" w:hAnsi="Times New Roman" w:cs="Times New Roman"/>
          <w:b/>
          <w:sz w:val="32"/>
          <w:szCs w:val="32"/>
        </w:rPr>
        <w:t>за 2019 рік</w:t>
      </w: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І.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Контингент</w:t>
      </w: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9C330B" w:rsidRPr="00E95A98" w:rsidRDefault="009C330B" w:rsidP="009C330B">
      <w:pPr>
        <w:numPr>
          <w:ilvl w:val="0"/>
          <w:numId w:val="1"/>
        </w:numPr>
        <w:tabs>
          <w:tab w:val="left" w:pos="3202"/>
        </w:tabs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Випускники</w:t>
      </w:r>
    </w:p>
    <w:p w:rsidR="009C330B" w:rsidRPr="00E95A98" w:rsidRDefault="009C330B" w:rsidP="009C330B">
      <w:pPr>
        <w:tabs>
          <w:tab w:val="left" w:pos="3202"/>
        </w:tabs>
        <w:ind w:left="720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Кількість випускників університету та коледжу в 201</w:t>
      </w:r>
      <w:r w:rsidR="008B5E9C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9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році склала           </w:t>
      </w:r>
      <w:r w:rsidR="004D428C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893</w:t>
      </w:r>
      <w:r w:rsidR="008B5E9C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4D428C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особи</w:t>
      </w:r>
      <w:r w:rsidR="008B5E9C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(766 – університет, в тому числі 16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іноземних студентів, 1</w:t>
      </w:r>
      <w:r w:rsidR="004D428C" w:rsidRPr="00E95A98">
        <w:rPr>
          <w:rFonts w:ascii="Times New Roman" w:eastAsia="Calibri" w:hAnsi="Times New Roman" w:cs="Times New Roman"/>
          <w:color w:val="auto"/>
          <w:sz w:val="32"/>
          <w:szCs w:val="32"/>
          <w:lang w:val="ru-RU" w:eastAsia="en-US"/>
        </w:rPr>
        <w:t>2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7 – коледж). Крім цього, було поновлено </w:t>
      </w:r>
      <w:r w:rsidR="008F7E5F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50</w:t>
      </w:r>
      <w:r w:rsidR="00B92B42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дипломів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українського зразка (</w:t>
      </w:r>
      <w:r w:rsidR="008F7E5F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13 – випускникам ТНУ 2014 року, 37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– дублікат</w:t>
      </w:r>
      <w:r w:rsidR="00B92B42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ів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випускникам ТНУ та інших ЗВО). </w:t>
      </w:r>
    </w:p>
    <w:p w:rsidR="009C330B" w:rsidRPr="00E95A98" w:rsidRDefault="009C330B" w:rsidP="00864DDA">
      <w:pPr>
        <w:tabs>
          <w:tab w:val="left" w:pos="3202"/>
        </w:tabs>
        <w:spacing w:line="360" w:lineRule="auto"/>
        <w:ind w:firstLine="720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2. Вступна кампанія</w:t>
      </w: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Успішною для колективу Таврійського універс</w:t>
      </w:r>
      <w:r w:rsidR="008F7E5F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итету була вступна кампанія 2019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року. До приймальної комісії було подано більше </w:t>
      </w:r>
      <w:r w:rsidR="00617BE8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439</w:t>
      </w:r>
      <w:r w:rsidR="00566336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0 заяв від вступників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і студентів, що бажа</w:t>
      </w:r>
      <w:r w:rsidR="00497763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ли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вступити на навчання в ТНУ. О</w:t>
      </w:r>
      <w:r w:rsidRPr="00E95A98">
        <w:rPr>
          <w:rStyle w:val="shorttext"/>
          <w:rFonts w:ascii="Times New Roman" w:hAnsi="Times New Roman" w:cs="Times New Roman"/>
          <w:sz w:val="32"/>
          <w:szCs w:val="32"/>
        </w:rPr>
        <w:t xml:space="preserve">бсяг 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держзамовлення склав </w:t>
      </w:r>
      <w:r w:rsidR="00E13DE3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749</w:t>
      </w:r>
      <w:r w:rsidR="008F7E5F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 </w:t>
      </w:r>
      <w:r w:rsidR="008F7E5F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місць</w:t>
      </w:r>
      <w:r w:rsidR="00E13DE3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(606 – університет, 143 – коледж)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.</w:t>
      </w:r>
    </w:p>
    <w:p w:rsidR="009C330B" w:rsidRPr="00E95A98" w:rsidRDefault="009C330B" w:rsidP="00864DDA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Як видно з наданої до МОН Зведеної відомості щодо контингенту ТНУ</w:t>
      </w:r>
      <w:r w:rsidR="00864DDA">
        <w:rPr>
          <w:rFonts w:ascii="Times New Roman" w:eastAsia="Calibri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станом на 05.10.201</w:t>
      </w:r>
      <w:r w:rsidR="008F7E5F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9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року в Таврійський національний університет (включаючи коледж) на навчання зараховано </w:t>
      </w: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1 1</w:t>
      </w:r>
      <w:r w:rsidR="008F7E5F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26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студентів, та </w:t>
      </w:r>
      <w:r w:rsidR="00566336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продовжується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робота Приймальної комісії щодо поновлення на </w:t>
      </w:r>
      <w:r w:rsidR="00617BE8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                          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навчання студентів з тимчасово окупованої території Криму.</w:t>
      </w:r>
    </w:p>
    <w:p w:rsidR="009C330B" w:rsidRPr="00E95A98" w:rsidRDefault="009C330B" w:rsidP="00566336">
      <w:pPr>
        <w:pStyle w:val="HTML"/>
        <w:shd w:val="clear" w:color="auto" w:fill="FFFFFF"/>
        <w:spacing w:line="360" w:lineRule="auto"/>
        <w:jc w:val="both"/>
        <w:rPr>
          <w:rFonts w:ascii="Times New Roman" w:eastAsia="Calibri" w:hAnsi="Times New Roman"/>
          <w:sz w:val="32"/>
          <w:szCs w:val="32"/>
          <w:lang w:val="uk-UA" w:eastAsia="en-US"/>
        </w:rPr>
      </w:pPr>
      <w:r w:rsidRPr="00E95A98">
        <w:rPr>
          <w:rFonts w:ascii="Times New Roman" w:eastAsia="Calibri" w:hAnsi="Times New Roman"/>
          <w:sz w:val="32"/>
          <w:szCs w:val="32"/>
          <w:lang w:val="uk-UA"/>
        </w:rPr>
        <w:tab/>
      </w:r>
      <w:r w:rsidRPr="00E95A98">
        <w:rPr>
          <w:rFonts w:ascii="Times New Roman" w:eastAsia="Calibri" w:hAnsi="Times New Roman"/>
          <w:sz w:val="32"/>
          <w:szCs w:val="32"/>
          <w:lang w:val="uk-UA" w:eastAsia="en-US"/>
        </w:rPr>
        <w:t xml:space="preserve">Також зростає кількість студентів, </w:t>
      </w:r>
      <w:proofErr w:type="spellStart"/>
      <w:r w:rsidRPr="00E95A98">
        <w:rPr>
          <w:rFonts w:ascii="Times New Roman" w:eastAsia="Calibri" w:hAnsi="Times New Roman"/>
          <w:sz w:val="32"/>
          <w:szCs w:val="32"/>
          <w:lang w:val="uk-UA" w:eastAsia="en-US"/>
        </w:rPr>
        <w:t>вступаючих</w:t>
      </w:r>
      <w:proofErr w:type="spellEnd"/>
      <w:r w:rsidRPr="00E95A98">
        <w:rPr>
          <w:rFonts w:ascii="Times New Roman" w:eastAsia="Calibri" w:hAnsi="Times New Roman"/>
          <w:sz w:val="32"/>
          <w:szCs w:val="32"/>
          <w:lang w:val="uk-UA" w:eastAsia="en-US"/>
        </w:rPr>
        <w:t xml:space="preserve"> до нас з території окупованого Донбасу. </w:t>
      </w: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lastRenderedPageBreak/>
        <w:t>3. Загальна кількість студентів та викладачів</w:t>
      </w:r>
    </w:p>
    <w:p w:rsidR="009C330B" w:rsidRPr="00E95A98" w:rsidRDefault="00AB2318" w:rsidP="009C330B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Станом на 20.01.2020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року загальна кількість студентів університету становить </w:t>
      </w:r>
      <w:r w:rsidR="009C330B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2 </w:t>
      </w: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590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осіб (бакалаври – 1 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972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, магістри – 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618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). В Коледжі зараз навчається </w:t>
      </w:r>
      <w:r w:rsidR="009C330B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60</w:t>
      </w:r>
      <w:r w:rsidR="004D428C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4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студентів. Також </w:t>
      </w:r>
      <w:r w:rsidR="009C330B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3</w:t>
      </w: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7</w:t>
      </w:r>
      <w:r w:rsidR="00B64EB5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осіб навчається в а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спірантурі, </w:t>
      </w:r>
      <w:r w:rsidR="00560A55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31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– на підготовчому відділенні. Таким чином, загальна чисельність осіб, що навчаються в ТНУ становить </w:t>
      </w:r>
      <w:r w:rsidR="009C330B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3 </w:t>
      </w:r>
      <w:r w:rsidR="004D428C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262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студентів, з них </w:t>
      </w:r>
      <w:r w:rsidR="00560A55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85</w:t>
      </w:r>
      <w:r w:rsidR="009C330B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 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осіб </w:t>
      </w:r>
      <w:r w:rsidR="00F43B44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–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іноземці. Це</w:t>
      </w:r>
      <w:r w:rsidR="00F43B44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на 95 студентів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більш</w:t>
      </w:r>
      <w:r w:rsidR="00F43B44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е, чи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м було у нас на </w:t>
      </w:r>
      <w:r w:rsidR="00617BE8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такій же період минулого</w:t>
      </w:r>
      <w:r w:rsidR="009C330B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навчального року – </w:t>
      </w:r>
      <w:r w:rsidR="00617BE8"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3167</w:t>
      </w:r>
      <w:r w:rsidR="00F43B44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особа.</w:t>
      </w:r>
    </w:p>
    <w:p w:rsidR="00BE1D01" w:rsidRPr="00E95A98" w:rsidRDefault="00BE1D01" w:rsidP="00BE1D01">
      <w:pPr>
        <w:tabs>
          <w:tab w:val="left" w:pos="142"/>
          <w:tab w:val="left" w:pos="3202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На сьогодні кадровий склад Університету нараховує </w:t>
      </w: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467 осіб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(з них за основни</w:t>
      </w:r>
      <w:r w:rsidR="00F43B44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м місцем роботи працює - 307 осі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б, за зовнішнім сумісництвом – 66 осіб, за основним місцем роботи в Коледжі - 88 осіб, за сумісництвом - 6).</w:t>
      </w:r>
    </w:p>
    <w:p w:rsidR="00BE1D01" w:rsidRPr="00E95A98" w:rsidRDefault="00BE1D01" w:rsidP="00BE1D01">
      <w:pPr>
        <w:tabs>
          <w:tab w:val="left" w:pos="142"/>
          <w:tab w:val="left" w:pos="3202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Навчальний процес в Університеті забезпечує науково-педагогічний колектив – </w:t>
      </w: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277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осіб (167 за основним місцем роботи, 64 за сумісництвом, 46 педагогічні працівники Коледжу). В Університеті працює: – </w:t>
      </w: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55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докторів наук, з них 37</w:t>
      </w:r>
      <w:r w:rsidR="00497763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–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за основним місцем роботи; 18 за сумісництвом; – </w:t>
      </w: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125 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кандидатів наук, з них: 95 </w:t>
      </w:r>
      <w:r w:rsidR="00497763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–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за основним місцем роботи, 25</w:t>
      </w:r>
      <w:r w:rsidR="00497763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–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за сумісництвом, 9 працівник</w:t>
      </w:r>
      <w:r w:rsidR="00497763"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ів</w:t>
      </w:r>
      <w:r w:rsidRPr="00E95A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Коледжу. 9 науково-педагогічних працівників мають почесні звання, 3 педагогічних працівника мають відзнаку «Відмінник освіти». </w:t>
      </w: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ІІ</w:t>
      </w:r>
    </w:p>
    <w:p w:rsidR="00E95A98" w:rsidRDefault="009C330B" w:rsidP="00E95A98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A98">
        <w:rPr>
          <w:rFonts w:ascii="Times New Roman" w:hAnsi="Times New Roman" w:cs="Times New Roman"/>
          <w:b/>
          <w:sz w:val="32"/>
          <w:szCs w:val="32"/>
        </w:rPr>
        <w:t>Про заробітною плату.</w:t>
      </w:r>
    </w:p>
    <w:p w:rsidR="00125059" w:rsidRPr="00E95A98" w:rsidRDefault="00125059" w:rsidP="00E95A98">
      <w:pPr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lastRenderedPageBreak/>
        <w:t>Усього в ТНУ ставок 4</w:t>
      </w:r>
      <w:r w:rsidRPr="00E95A98">
        <w:rPr>
          <w:rFonts w:ascii="Times New Roman" w:hAnsi="Times New Roman" w:cs="Times New Roman"/>
          <w:sz w:val="32"/>
          <w:szCs w:val="32"/>
          <w:lang w:val="ru-RU"/>
        </w:rPr>
        <w:t xml:space="preserve">42 </w:t>
      </w:r>
      <w:r w:rsidRPr="00E95A98">
        <w:rPr>
          <w:rFonts w:ascii="Times New Roman" w:hAnsi="Times New Roman" w:cs="Times New Roman"/>
          <w:sz w:val="32"/>
          <w:szCs w:val="32"/>
        </w:rPr>
        <w:t>з яких науково-педагогічний персонал – 237 с</w:t>
      </w:r>
      <w:r w:rsidR="00F7768C" w:rsidRPr="00E95A98">
        <w:rPr>
          <w:rFonts w:ascii="Times New Roman" w:hAnsi="Times New Roman" w:cs="Times New Roman"/>
          <w:sz w:val="32"/>
          <w:szCs w:val="32"/>
        </w:rPr>
        <w:t>тавки,</w:t>
      </w:r>
      <w:r w:rsidRPr="00E95A98">
        <w:rPr>
          <w:rFonts w:ascii="Times New Roman" w:hAnsi="Times New Roman" w:cs="Times New Roman"/>
          <w:sz w:val="32"/>
          <w:szCs w:val="32"/>
        </w:rPr>
        <w:t xml:space="preserve"> </w:t>
      </w:r>
      <w:r w:rsidR="00F7768C" w:rsidRPr="00E95A98">
        <w:rPr>
          <w:rFonts w:ascii="Times New Roman" w:hAnsi="Times New Roman" w:cs="Times New Roman"/>
          <w:sz w:val="32"/>
          <w:szCs w:val="32"/>
        </w:rPr>
        <w:t>ф</w:t>
      </w:r>
      <w:r w:rsidRPr="00E95A98">
        <w:rPr>
          <w:rFonts w:ascii="Times New Roman" w:hAnsi="Times New Roman" w:cs="Times New Roman"/>
          <w:sz w:val="32"/>
          <w:szCs w:val="32"/>
        </w:rPr>
        <w:t>онд оплати праці (</w:t>
      </w:r>
      <w:r w:rsidR="00F7768C" w:rsidRPr="00E95A98">
        <w:rPr>
          <w:rFonts w:ascii="Times New Roman" w:hAnsi="Times New Roman" w:cs="Times New Roman"/>
          <w:sz w:val="32"/>
          <w:szCs w:val="32"/>
        </w:rPr>
        <w:t>Ф</w:t>
      </w:r>
      <w:r w:rsidRPr="00E95A98">
        <w:rPr>
          <w:rFonts w:ascii="Times New Roman" w:hAnsi="Times New Roman" w:cs="Times New Roman"/>
          <w:sz w:val="32"/>
          <w:szCs w:val="32"/>
        </w:rPr>
        <w:t>ОП)</w:t>
      </w:r>
      <w:r w:rsidR="00F7768C" w:rsidRPr="00E95A98">
        <w:rPr>
          <w:rFonts w:ascii="Times New Roman" w:hAnsi="Times New Roman" w:cs="Times New Roman"/>
          <w:sz w:val="32"/>
          <w:szCs w:val="32"/>
        </w:rPr>
        <w:t xml:space="preserve"> яких складає</w:t>
      </w:r>
      <w:r w:rsidRPr="00E95A98">
        <w:rPr>
          <w:rFonts w:ascii="Times New Roman" w:hAnsi="Times New Roman" w:cs="Times New Roman"/>
          <w:sz w:val="32"/>
          <w:szCs w:val="32"/>
        </w:rPr>
        <w:t xml:space="preserve"> </w:t>
      </w:r>
      <w:r w:rsidRPr="00E95A98">
        <w:rPr>
          <w:rFonts w:ascii="Times New Roman" w:hAnsi="Times New Roman" w:cs="Times New Roman"/>
          <w:b/>
          <w:sz w:val="32"/>
          <w:szCs w:val="32"/>
        </w:rPr>
        <w:t xml:space="preserve">2 618 212,00 </w:t>
      </w:r>
      <w:r w:rsidRPr="00E95A98">
        <w:rPr>
          <w:rFonts w:ascii="Times New Roman" w:hAnsi="Times New Roman" w:cs="Times New Roman"/>
          <w:sz w:val="32"/>
          <w:szCs w:val="32"/>
        </w:rPr>
        <w:t>гривень.</w:t>
      </w:r>
    </w:p>
    <w:p w:rsidR="00125059" w:rsidRPr="00E95A98" w:rsidRDefault="00125059" w:rsidP="00125059">
      <w:pPr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З загального фонду фінансується 271 ставк</w:t>
      </w:r>
      <w:r w:rsidR="00EF6CF5" w:rsidRPr="00E95A98">
        <w:rPr>
          <w:rFonts w:ascii="Times New Roman" w:hAnsi="Times New Roman" w:cs="Times New Roman"/>
          <w:sz w:val="32"/>
          <w:szCs w:val="32"/>
        </w:rPr>
        <w:t>а з</w:t>
      </w:r>
      <w:r w:rsidRPr="00E95A98">
        <w:rPr>
          <w:rFonts w:ascii="Times New Roman" w:hAnsi="Times New Roman" w:cs="Times New Roman"/>
          <w:sz w:val="32"/>
          <w:szCs w:val="32"/>
        </w:rPr>
        <w:t xml:space="preserve"> ФОП – </w:t>
      </w:r>
      <w:r w:rsidRPr="00E95A98">
        <w:rPr>
          <w:rFonts w:ascii="Times New Roman" w:hAnsi="Times New Roman" w:cs="Times New Roman"/>
          <w:b/>
          <w:sz w:val="32"/>
          <w:szCs w:val="32"/>
        </w:rPr>
        <w:t>2 367 700,00</w:t>
      </w:r>
      <w:r w:rsidRPr="00E95A98">
        <w:rPr>
          <w:rFonts w:ascii="Times New Roman" w:hAnsi="Times New Roman" w:cs="Times New Roman"/>
          <w:sz w:val="32"/>
          <w:szCs w:val="32"/>
        </w:rPr>
        <w:t xml:space="preserve"> грн. З спеціального фонду – 171</w:t>
      </w:r>
      <w:r w:rsidR="00EF6CF5" w:rsidRPr="00E95A98">
        <w:rPr>
          <w:rFonts w:ascii="Times New Roman" w:hAnsi="Times New Roman" w:cs="Times New Roman"/>
          <w:sz w:val="32"/>
          <w:szCs w:val="32"/>
        </w:rPr>
        <w:t xml:space="preserve"> ставки з</w:t>
      </w:r>
      <w:r w:rsidRPr="00E95A98">
        <w:rPr>
          <w:rFonts w:ascii="Times New Roman" w:hAnsi="Times New Roman" w:cs="Times New Roman"/>
          <w:sz w:val="32"/>
          <w:szCs w:val="32"/>
        </w:rPr>
        <w:t xml:space="preserve"> ФОП – </w:t>
      </w:r>
      <w:r w:rsidRPr="00E95A98">
        <w:rPr>
          <w:rFonts w:ascii="Times New Roman" w:hAnsi="Times New Roman" w:cs="Times New Roman"/>
          <w:b/>
          <w:sz w:val="32"/>
          <w:szCs w:val="32"/>
        </w:rPr>
        <w:t xml:space="preserve">1 282 855,00 </w:t>
      </w:r>
      <w:r w:rsidRPr="00E95A98">
        <w:rPr>
          <w:rFonts w:ascii="Times New Roman" w:hAnsi="Times New Roman" w:cs="Times New Roman"/>
          <w:sz w:val="32"/>
          <w:szCs w:val="32"/>
        </w:rPr>
        <w:t xml:space="preserve">грн. </w:t>
      </w:r>
    </w:p>
    <w:p w:rsidR="00125059" w:rsidRPr="00E95A98" w:rsidRDefault="00125059" w:rsidP="00125059">
      <w:pPr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У коледжі ФОП складає  </w:t>
      </w:r>
      <w:r w:rsidR="00C8192F" w:rsidRPr="00E95A98">
        <w:rPr>
          <w:rFonts w:ascii="Times New Roman" w:hAnsi="Times New Roman" w:cs="Times New Roman"/>
          <w:b/>
          <w:sz w:val="32"/>
          <w:szCs w:val="32"/>
        </w:rPr>
        <w:t>695 543</w:t>
      </w:r>
      <w:r w:rsidRPr="00E95A98">
        <w:rPr>
          <w:rFonts w:ascii="Times New Roman" w:hAnsi="Times New Roman" w:cs="Times New Roman"/>
          <w:sz w:val="32"/>
          <w:szCs w:val="32"/>
        </w:rPr>
        <w:t xml:space="preserve">   </w:t>
      </w:r>
      <w:r w:rsidRPr="00E95A98">
        <w:rPr>
          <w:rFonts w:ascii="Times New Roman" w:hAnsi="Times New Roman" w:cs="Times New Roman"/>
          <w:b/>
          <w:sz w:val="32"/>
          <w:szCs w:val="32"/>
        </w:rPr>
        <w:t>грн.</w:t>
      </w:r>
      <w:r w:rsidRPr="00E95A98">
        <w:rPr>
          <w:rFonts w:ascii="Times New Roman" w:hAnsi="Times New Roman" w:cs="Times New Roman"/>
          <w:sz w:val="32"/>
          <w:szCs w:val="32"/>
        </w:rPr>
        <w:t xml:space="preserve"> на місяць (в тому числі</w:t>
      </w:r>
      <w:r w:rsidR="00EF6CF5" w:rsidRPr="00E95A98">
        <w:rPr>
          <w:rFonts w:ascii="Times New Roman" w:hAnsi="Times New Roman" w:cs="Times New Roman"/>
          <w:sz w:val="32"/>
          <w:szCs w:val="32"/>
        </w:rPr>
        <w:t xml:space="preserve"> за рахунок </w:t>
      </w:r>
      <w:r w:rsidRPr="00E95A98">
        <w:rPr>
          <w:rFonts w:ascii="Times New Roman" w:hAnsi="Times New Roman" w:cs="Times New Roman"/>
          <w:sz w:val="32"/>
          <w:szCs w:val="32"/>
        </w:rPr>
        <w:t>загальн</w:t>
      </w:r>
      <w:r w:rsidR="00EF6CF5" w:rsidRPr="00E95A98">
        <w:rPr>
          <w:rFonts w:ascii="Times New Roman" w:hAnsi="Times New Roman" w:cs="Times New Roman"/>
          <w:sz w:val="32"/>
          <w:szCs w:val="32"/>
        </w:rPr>
        <w:t>ого фонду –</w:t>
      </w:r>
      <w:r w:rsidRPr="00E95A98">
        <w:rPr>
          <w:rFonts w:ascii="Times New Roman" w:hAnsi="Times New Roman" w:cs="Times New Roman"/>
          <w:sz w:val="32"/>
          <w:szCs w:val="32"/>
        </w:rPr>
        <w:t xml:space="preserve"> </w:t>
      </w:r>
      <w:r w:rsidR="00C8192F" w:rsidRPr="00E95A98">
        <w:rPr>
          <w:rFonts w:ascii="Times New Roman" w:hAnsi="Times New Roman" w:cs="Times New Roman"/>
          <w:b/>
          <w:sz w:val="32"/>
          <w:szCs w:val="32"/>
        </w:rPr>
        <w:t>586211</w:t>
      </w:r>
      <w:r w:rsidRPr="00E95A98">
        <w:rPr>
          <w:rFonts w:ascii="Times New Roman" w:hAnsi="Times New Roman" w:cs="Times New Roman"/>
          <w:sz w:val="32"/>
          <w:szCs w:val="32"/>
        </w:rPr>
        <w:t xml:space="preserve"> </w:t>
      </w:r>
      <w:r w:rsidR="00EF6CF5" w:rsidRPr="00E95A98">
        <w:rPr>
          <w:rFonts w:ascii="Times New Roman" w:hAnsi="Times New Roman" w:cs="Times New Roman"/>
          <w:sz w:val="32"/>
          <w:szCs w:val="32"/>
        </w:rPr>
        <w:t xml:space="preserve">грн., спеціального фонду </w:t>
      </w:r>
      <w:r w:rsidRPr="00E95A98">
        <w:rPr>
          <w:rFonts w:ascii="Times New Roman" w:hAnsi="Times New Roman" w:cs="Times New Roman"/>
          <w:sz w:val="32"/>
          <w:szCs w:val="32"/>
        </w:rPr>
        <w:t xml:space="preserve"> – </w:t>
      </w:r>
      <w:r w:rsidR="00C8192F" w:rsidRPr="00E95A98">
        <w:rPr>
          <w:rFonts w:ascii="Times New Roman" w:hAnsi="Times New Roman" w:cs="Times New Roman"/>
          <w:b/>
          <w:sz w:val="32"/>
          <w:szCs w:val="32"/>
        </w:rPr>
        <w:t>109 332</w:t>
      </w:r>
      <w:r w:rsidRPr="00E95A98">
        <w:rPr>
          <w:rFonts w:ascii="Times New Roman" w:hAnsi="Times New Roman" w:cs="Times New Roman"/>
          <w:sz w:val="32"/>
          <w:szCs w:val="32"/>
        </w:rPr>
        <w:t xml:space="preserve">   грн.).</w:t>
      </w:r>
    </w:p>
    <w:p w:rsidR="00125059" w:rsidRPr="00E95A98" w:rsidRDefault="00157732" w:rsidP="00125059">
      <w:pPr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В 2019 </w:t>
      </w:r>
      <w:r w:rsidR="00125059" w:rsidRPr="00E95A98">
        <w:rPr>
          <w:rFonts w:ascii="Times New Roman" w:hAnsi="Times New Roman" w:cs="Times New Roman"/>
          <w:sz w:val="32"/>
          <w:szCs w:val="32"/>
        </w:rPr>
        <w:t xml:space="preserve"> році виплачена матеріальна допомога до відпустки по загальному фонду та спеціальному фонду усім працівникам Університету та виплачена премія до Великодня, до Дня працівника освіти,  Дня заснування ТНУ та Нового року. </w:t>
      </w: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95A9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І</w:t>
      </w:r>
      <w:r w:rsidR="00AF2325" w:rsidRPr="00E95A9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</w:t>
      </w:r>
    </w:p>
    <w:p w:rsidR="00AF2325" w:rsidRPr="00864DDA" w:rsidRDefault="00864DDA" w:rsidP="00AF2325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64D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Стипендії</w:t>
      </w:r>
      <w:r w:rsidR="009C330B" w:rsidRPr="00864D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AF2325" w:rsidRPr="00864D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125059" w:rsidRPr="00E95A98" w:rsidRDefault="00125059" w:rsidP="00AF2325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Звичайну стипендію отримують 605 студенів, підвищену – 33</w:t>
      </w:r>
      <w:r w:rsidR="00004AE3" w:rsidRPr="00E95A98">
        <w:rPr>
          <w:rFonts w:ascii="Times New Roman" w:hAnsi="Times New Roman" w:cs="Times New Roman"/>
          <w:sz w:val="32"/>
          <w:szCs w:val="32"/>
        </w:rPr>
        <w:t>.  Стипендіальний фонд складає</w:t>
      </w:r>
      <w:r w:rsidRPr="00E95A98">
        <w:rPr>
          <w:rFonts w:ascii="Times New Roman" w:hAnsi="Times New Roman" w:cs="Times New Roman"/>
          <w:sz w:val="32"/>
          <w:szCs w:val="32"/>
        </w:rPr>
        <w:t xml:space="preserve"> </w:t>
      </w:r>
      <w:r w:rsidRPr="00E95A98">
        <w:rPr>
          <w:rFonts w:ascii="Times New Roman" w:hAnsi="Times New Roman" w:cs="Times New Roman"/>
          <w:b/>
          <w:sz w:val="32"/>
          <w:szCs w:val="32"/>
        </w:rPr>
        <w:t xml:space="preserve">892 560,00 </w:t>
      </w:r>
      <w:r w:rsidRPr="00E95A98">
        <w:rPr>
          <w:rFonts w:ascii="Times New Roman" w:hAnsi="Times New Roman" w:cs="Times New Roman"/>
          <w:sz w:val="32"/>
          <w:szCs w:val="32"/>
        </w:rPr>
        <w:t xml:space="preserve"> грн. Соціальну стипендію отримують 347 студентів, стипендіальний фонд – </w:t>
      </w:r>
      <w:r w:rsidRPr="00E95A98">
        <w:rPr>
          <w:rFonts w:ascii="Times New Roman" w:hAnsi="Times New Roman" w:cs="Times New Roman"/>
          <w:b/>
          <w:sz w:val="32"/>
          <w:szCs w:val="32"/>
        </w:rPr>
        <w:t xml:space="preserve">483 398,00 </w:t>
      </w:r>
      <w:r w:rsidRPr="00E95A98">
        <w:rPr>
          <w:rFonts w:ascii="Times New Roman" w:hAnsi="Times New Roman" w:cs="Times New Roman"/>
          <w:sz w:val="32"/>
          <w:szCs w:val="32"/>
        </w:rPr>
        <w:t>грн.</w:t>
      </w:r>
    </w:p>
    <w:p w:rsidR="00125059" w:rsidRPr="00E95A98" w:rsidRDefault="00004AE3" w:rsidP="00004AE3">
      <w:pPr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У </w:t>
      </w:r>
      <w:r w:rsidR="00C8192F" w:rsidRPr="00E95A98">
        <w:rPr>
          <w:rFonts w:ascii="Times New Roman" w:hAnsi="Times New Roman" w:cs="Times New Roman"/>
          <w:sz w:val="32"/>
          <w:szCs w:val="32"/>
        </w:rPr>
        <w:t>Коледж</w:t>
      </w:r>
      <w:r w:rsidRPr="00E95A98">
        <w:rPr>
          <w:rFonts w:ascii="Times New Roman" w:hAnsi="Times New Roman" w:cs="Times New Roman"/>
          <w:sz w:val="32"/>
          <w:szCs w:val="32"/>
        </w:rPr>
        <w:t>і</w:t>
      </w:r>
      <w:r w:rsidR="00C8192F" w:rsidRPr="00E95A98">
        <w:rPr>
          <w:rFonts w:ascii="Times New Roman" w:hAnsi="Times New Roman" w:cs="Times New Roman"/>
          <w:sz w:val="32"/>
          <w:szCs w:val="32"/>
        </w:rPr>
        <w:t xml:space="preserve"> стипендії отримують 45 </w:t>
      </w:r>
      <w:r w:rsidR="00125059" w:rsidRPr="00E95A98">
        <w:rPr>
          <w:rFonts w:ascii="Times New Roman" w:hAnsi="Times New Roman" w:cs="Times New Roman"/>
          <w:sz w:val="32"/>
          <w:szCs w:val="32"/>
        </w:rPr>
        <w:t>% учнів. Стипендіальний фонд складає</w:t>
      </w:r>
      <w:r w:rsidR="00C8192F" w:rsidRPr="00E95A98">
        <w:rPr>
          <w:rFonts w:ascii="Times New Roman" w:hAnsi="Times New Roman" w:cs="Times New Roman"/>
          <w:sz w:val="32"/>
          <w:szCs w:val="32"/>
        </w:rPr>
        <w:t xml:space="preserve">  </w:t>
      </w:r>
      <w:r w:rsidR="00C8192F" w:rsidRPr="00E95A98">
        <w:rPr>
          <w:rFonts w:ascii="Times New Roman" w:hAnsi="Times New Roman" w:cs="Times New Roman"/>
          <w:b/>
          <w:sz w:val="32"/>
          <w:szCs w:val="32"/>
        </w:rPr>
        <w:t>198 666</w:t>
      </w:r>
      <w:r w:rsidR="00C8192F" w:rsidRPr="00E95A98">
        <w:rPr>
          <w:rFonts w:ascii="Times New Roman" w:hAnsi="Times New Roman" w:cs="Times New Roman"/>
          <w:sz w:val="32"/>
          <w:szCs w:val="32"/>
        </w:rPr>
        <w:t xml:space="preserve"> грн</w:t>
      </w:r>
      <w:r w:rsidR="00125059" w:rsidRPr="00E95A98">
        <w:rPr>
          <w:rFonts w:ascii="Times New Roman" w:hAnsi="Times New Roman" w:cs="Times New Roman"/>
          <w:sz w:val="32"/>
          <w:szCs w:val="32"/>
        </w:rPr>
        <w:t>.</w:t>
      </w:r>
    </w:p>
    <w:p w:rsidR="009C330B" w:rsidRPr="00E95A98" w:rsidRDefault="00AF2325" w:rsidP="00004AE3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A9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9C330B" w:rsidRPr="00E95A98">
        <w:rPr>
          <w:rFonts w:ascii="Times New Roman" w:hAnsi="Times New Roman" w:cs="Times New Roman"/>
          <w:b/>
          <w:sz w:val="32"/>
          <w:szCs w:val="32"/>
        </w:rPr>
        <w:t>V</w:t>
      </w:r>
    </w:p>
    <w:p w:rsidR="009C330B" w:rsidRPr="00E95A98" w:rsidRDefault="009C330B" w:rsidP="00004AE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Поточні витрати за рік.</w:t>
      </w:r>
    </w:p>
    <w:p w:rsidR="00125059" w:rsidRPr="00E95A98" w:rsidRDefault="00125059" w:rsidP="00004AE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Оплата комунальних послуг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Теплопостачання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2 948 814,00 грн 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Водопостачання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272 355,00 грн;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Електроенергія-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991 149,00 грн.</w:t>
      </w:r>
    </w:p>
    <w:p w:rsidR="00125059" w:rsidRPr="00E95A98" w:rsidRDefault="00125059" w:rsidP="00004AE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Придбання предметів, матеріалів та інвентарю 1 087 774,00 грн. з них: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грошова допомога на придбання одягу  та літератури  для студентів, що мають статус дитини-сироти, яких в ТНУ 36 осіб на суму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253 275,00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004AE3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>грошова допомога дитині-</w:t>
      </w:r>
      <w:r w:rsidR="00125059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сироті по закінченню навчання 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– </w:t>
      </w:r>
      <w:r w:rsidR="00125059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12 722,00 грн.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>друков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ана продукція (дипломних комплектів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, жу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рналів, буклетів та посвідчень) –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165 643,00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паперу для друку документів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49 690,00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будівельних та господарських товарів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195 093,00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</w:t>
      </w:r>
      <w:proofErr w:type="spellStart"/>
      <w:r w:rsidRPr="00E95A98">
        <w:rPr>
          <w:rFonts w:ascii="Times New Roman" w:hAnsi="Times New Roman" w:cs="Times New Roman"/>
          <w:sz w:val="32"/>
          <w:szCs w:val="32"/>
          <w:lang w:eastAsia="ru-RU"/>
        </w:rPr>
        <w:t>енергоощадливих</w:t>
      </w:r>
      <w:proofErr w:type="spellEnd"/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світильників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49 690,00 грн.;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обладнання для навчальної лабораторії готельно-ресторанної справи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91 129,00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грн.;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дезінфекційних засобів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198 000,00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>придбання канцтоварів та офісного приладдя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120 794,00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підписка  на періодичні видання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18 704,00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картриджів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49 630,00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придбання баскетбольної форми студентам – </w:t>
      </w:r>
      <w:r w:rsidRPr="00E95A98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34 282,00 грн.</w:t>
      </w:r>
      <w:r w:rsidR="00004AE3" w:rsidRPr="00E95A98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;</w:t>
      </w:r>
    </w:p>
    <w:p w:rsidR="00004AE3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замін</w:t>
      </w:r>
      <w:r w:rsidR="00004AE3" w:rsidRPr="00E95A98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а ліжок з матрацами в гуртожитках</w:t>
      </w:r>
      <w:r w:rsidRPr="00E95A98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="00004AE3" w:rsidRPr="00E95A98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126</w:t>
      </w:r>
      <w:r w:rsidRPr="00E95A98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  <w:r w:rsidR="00004AE3" w:rsidRPr="00E95A98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984</w:t>
      </w:r>
      <w:r w:rsidRPr="00E95A98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,00 грн.</w:t>
      </w:r>
    </w:p>
    <w:p w:rsidR="00004AE3" w:rsidRPr="00E95A98" w:rsidRDefault="00004AE3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125059" w:rsidRPr="00E95A98">
        <w:rPr>
          <w:rFonts w:ascii="Times New Roman" w:hAnsi="Times New Roman" w:cs="Times New Roman"/>
          <w:sz w:val="32"/>
          <w:szCs w:val="32"/>
          <w:lang w:eastAsia="ru-RU"/>
        </w:rPr>
        <w:t>плата ком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пенсації харчування для дітей-</w:t>
      </w:r>
      <w:r w:rsidR="00125059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сиріт – </w:t>
      </w:r>
      <w:r w:rsidR="00125059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1 303 512,00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грн.;</w:t>
      </w:r>
    </w:p>
    <w:p w:rsidR="00004AE3" w:rsidRPr="00E95A98" w:rsidRDefault="00004AE3" w:rsidP="00004AE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25059" w:rsidRPr="00E95A98" w:rsidRDefault="00004AE3" w:rsidP="00004AE3">
      <w:pPr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="00125059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плата послуг 1 717 128,00 грн., з них</w:t>
      </w:r>
      <w:r w:rsidR="00125059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: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прання білизни для студентів, які проживають в гуртожитках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88 893,00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вивіз побутових відходів, обрізка дерев 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204 383,00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>телефонний зв’язок та інтернет –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31 100,00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супроводження програмного забезпечення, 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заправка та ремонт картриджів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, інформаційно-консультативні послуги 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243 019,00 грн.</w:t>
      </w:r>
    </w:p>
    <w:p w:rsidR="00004AE3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технічне обслуговування, поточний ремонт систем центрального опалення та підготовка до опалювального сезону в будівлях університету 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316 261, 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F31C5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>поточний ремонт  в гуртожитках</w:t>
      </w:r>
      <w:r w:rsidR="00E95A9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64DDA">
        <w:rPr>
          <w:rFonts w:ascii="Times New Roman" w:hAnsi="Times New Roman" w:cs="Times New Roman"/>
          <w:sz w:val="32"/>
          <w:szCs w:val="32"/>
          <w:lang w:eastAsia="ru-RU"/>
        </w:rPr>
        <w:t xml:space="preserve">по вул. </w:t>
      </w:r>
      <w:r w:rsidR="00E95A98">
        <w:rPr>
          <w:rFonts w:ascii="Times New Roman" w:hAnsi="Times New Roman" w:cs="Times New Roman"/>
          <w:sz w:val="32"/>
          <w:szCs w:val="32"/>
          <w:lang w:eastAsia="ru-RU"/>
        </w:rPr>
        <w:t xml:space="preserve">Галицька, </w:t>
      </w:r>
      <w:r w:rsidR="00864DDA">
        <w:rPr>
          <w:rFonts w:ascii="Times New Roman" w:hAnsi="Times New Roman" w:cs="Times New Roman"/>
          <w:sz w:val="32"/>
          <w:szCs w:val="32"/>
          <w:lang w:eastAsia="ru-RU"/>
        </w:rPr>
        <w:t xml:space="preserve">вул. </w:t>
      </w:r>
      <w:r w:rsidR="00E95A98">
        <w:rPr>
          <w:rFonts w:ascii="Times New Roman" w:hAnsi="Times New Roman" w:cs="Times New Roman"/>
          <w:sz w:val="32"/>
          <w:szCs w:val="32"/>
          <w:lang w:eastAsia="ru-RU"/>
        </w:rPr>
        <w:t xml:space="preserve">Попова, </w:t>
      </w:r>
      <w:r w:rsidR="00864DDA">
        <w:rPr>
          <w:rFonts w:ascii="Times New Roman" w:hAnsi="Times New Roman" w:cs="Times New Roman"/>
          <w:sz w:val="32"/>
          <w:szCs w:val="32"/>
          <w:lang w:eastAsia="ru-RU"/>
        </w:rPr>
        <w:t xml:space="preserve">вул. </w:t>
      </w:r>
      <w:r w:rsidR="00E95A98">
        <w:rPr>
          <w:rFonts w:ascii="Times New Roman" w:hAnsi="Times New Roman" w:cs="Times New Roman"/>
          <w:sz w:val="32"/>
          <w:szCs w:val="32"/>
          <w:lang w:eastAsia="ru-RU"/>
        </w:rPr>
        <w:t>Глазунова  –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224 854,00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>поточний ремонт учбовог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фонду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на </w:t>
      </w:r>
      <w:r w:rsidR="00864DDA">
        <w:rPr>
          <w:rFonts w:ascii="Times New Roman" w:hAnsi="Times New Roman" w:cs="Times New Roman"/>
          <w:sz w:val="32"/>
          <w:szCs w:val="32"/>
          <w:lang w:eastAsia="ru-RU"/>
        </w:rPr>
        <w:t xml:space="preserve">вул. 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Кирилівськ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ій,</w:t>
      </w:r>
      <w:r w:rsidR="00E95A98">
        <w:rPr>
          <w:rFonts w:ascii="Times New Roman" w:hAnsi="Times New Roman" w:cs="Times New Roman"/>
          <w:sz w:val="32"/>
          <w:szCs w:val="32"/>
          <w:lang w:eastAsia="ru-RU"/>
        </w:rPr>
        <w:t xml:space="preserve"> 164 </w:t>
      </w:r>
      <w:r w:rsidR="00E95A98">
        <w:rPr>
          <w:rFonts w:ascii="Times New Roman" w:hAnsi="Times New Roman" w:cs="Times New Roman"/>
          <w:sz w:val="32"/>
          <w:szCs w:val="32"/>
          <w:lang w:val="ru-RU" w:eastAsia="ru-RU"/>
        </w:rPr>
        <w:t>–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200 000,00 грн.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часткова заміна вікон в гуртожитку 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64DDA">
        <w:rPr>
          <w:rFonts w:ascii="Times New Roman" w:hAnsi="Times New Roman" w:cs="Times New Roman"/>
          <w:sz w:val="32"/>
          <w:szCs w:val="32"/>
          <w:lang w:eastAsia="ru-RU"/>
        </w:rPr>
        <w:t xml:space="preserve">вул. 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Глазунова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2/4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E95A98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            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119 800,00 грн</w:t>
      </w:r>
      <w:r w:rsidR="00004AE3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.;</w:t>
      </w:r>
    </w:p>
    <w:p w:rsidR="00125059" w:rsidRPr="00E95A98" w:rsidRDefault="00125059" w:rsidP="004E658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часткова заміна вікон в навчальному корпусі 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на </w:t>
      </w:r>
      <w:r w:rsidR="00864DDA">
        <w:rPr>
          <w:rFonts w:ascii="Times New Roman" w:hAnsi="Times New Roman" w:cs="Times New Roman"/>
          <w:sz w:val="32"/>
          <w:szCs w:val="32"/>
          <w:lang w:eastAsia="ru-RU"/>
        </w:rPr>
        <w:t xml:space="preserve">вул. 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Джона Маккейна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33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127 000,00  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грн.</w:t>
      </w:r>
    </w:p>
    <w:p w:rsidR="00004AE3" w:rsidRPr="00E95A98" w:rsidRDefault="00004AE3" w:rsidP="00125059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5059" w:rsidRPr="00E95A98" w:rsidRDefault="00125059" w:rsidP="00125059">
      <w:pPr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Оплата капітальних витрат 3 399 013,42 грн. з них:</w:t>
      </w:r>
    </w:p>
    <w:p w:rsidR="00125059" w:rsidRPr="00E95A98" w:rsidRDefault="00125059" w:rsidP="00E358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>повна зам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іна вікон в гуртожитках по вул.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Попова та Галицькій –</w:t>
      </w:r>
      <w:r w:rsidR="00E95A9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985 573,00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грн;</w:t>
      </w:r>
    </w:p>
    <w:p w:rsidR="00125059" w:rsidRPr="00E95A98" w:rsidRDefault="00125059" w:rsidP="00004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капітальний ремонт покрівлі в навчальній будівлі по вул. </w:t>
      </w:r>
      <w:proofErr w:type="spellStart"/>
      <w:r w:rsidRPr="00E95A98">
        <w:rPr>
          <w:rFonts w:ascii="Times New Roman" w:hAnsi="Times New Roman" w:cs="Times New Roman"/>
          <w:sz w:val="32"/>
          <w:szCs w:val="32"/>
          <w:lang w:eastAsia="ru-RU"/>
        </w:rPr>
        <w:t>Чигоріна</w:t>
      </w:r>
      <w:proofErr w:type="spellEnd"/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8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448 022,00 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грн.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125059" w:rsidRPr="00E95A98" w:rsidRDefault="00004AE3" w:rsidP="00004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часткова заміна вікон по вул. </w:t>
      </w:r>
      <w:proofErr w:type="spellStart"/>
      <w:r w:rsidR="00125059" w:rsidRPr="00E95A98">
        <w:rPr>
          <w:rFonts w:ascii="Times New Roman" w:hAnsi="Times New Roman" w:cs="Times New Roman"/>
          <w:sz w:val="32"/>
          <w:szCs w:val="32"/>
          <w:lang w:eastAsia="ru-RU"/>
        </w:rPr>
        <w:t>Чигоріна</w:t>
      </w:r>
      <w:proofErr w:type="spellEnd"/>
      <w:r w:rsidRPr="00E95A98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125059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8 – </w:t>
      </w:r>
      <w:r w:rsidR="00125059"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49 000 ,00</w:t>
      </w:r>
      <w:r w:rsidR="00125059"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часткова заміна вікон во вул. Джона Маккейна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33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665 353,00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  <w:r w:rsidR="00004AE3" w:rsidRPr="00E95A98">
        <w:rPr>
          <w:rFonts w:ascii="Times New Roman" w:hAnsi="Times New Roman" w:cs="Times New Roman"/>
          <w:sz w:val="32"/>
          <w:szCs w:val="32"/>
          <w:lang w:eastAsia="ru-RU"/>
        </w:rPr>
        <w:t>;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25059" w:rsidRPr="00E95A98" w:rsidRDefault="00125059" w:rsidP="00004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капітальний ремонт концертного залу з встановленням протипожежних дверей та реставрування паркетного покриття підлоги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385 390,00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  <w:r w:rsidR="00C11814" w:rsidRPr="00E95A98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125059" w:rsidRPr="00E95A98" w:rsidRDefault="00125059" w:rsidP="00004A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трьох комп’ютерних класів та 15 комп’ютерів – </w:t>
      </w:r>
      <w:r w:rsidRPr="00E95A98">
        <w:rPr>
          <w:rFonts w:ascii="Times New Roman" w:hAnsi="Times New Roman" w:cs="Times New Roman"/>
          <w:b/>
          <w:sz w:val="32"/>
          <w:szCs w:val="32"/>
          <w:lang w:eastAsia="ru-RU"/>
        </w:rPr>
        <w:t>865 675,00</w:t>
      </w:r>
      <w:r w:rsidRPr="00E95A98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C330B" w:rsidRPr="00E95A98" w:rsidRDefault="009C330B" w:rsidP="009C330B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95A98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95A9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C8192F" w:rsidRPr="00E95A98" w:rsidRDefault="00C8192F" w:rsidP="00C8192F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A98">
        <w:rPr>
          <w:rFonts w:ascii="Times New Roman" w:hAnsi="Times New Roman" w:cs="Times New Roman"/>
          <w:b/>
          <w:sz w:val="32"/>
          <w:szCs w:val="32"/>
        </w:rPr>
        <w:t>Навчальний процес.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Питання забезпечення якості освіти є одним з головних ректорату, вченої ради університету і навчальних підрозділів. Згідно із Законами України «Про освіту» і «Про вищу освіту», Національною стратегією розвитку освіти в Україні на період до 2021 року, а також «Положенням про систему внутрішнього забезпечення якості вищої освіти у Таврійському національному університеті імені В.</w:t>
      </w:r>
      <w:r w:rsidR="00C11814" w:rsidRPr="00E95A98">
        <w:rPr>
          <w:rFonts w:ascii="Times New Roman" w:hAnsi="Times New Roman" w:cs="Times New Roman"/>
          <w:sz w:val="32"/>
          <w:szCs w:val="32"/>
        </w:rPr>
        <w:t xml:space="preserve"> </w:t>
      </w:r>
      <w:r w:rsidRPr="00E95A98">
        <w:rPr>
          <w:rFonts w:ascii="Times New Roman" w:hAnsi="Times New Roman" w:cs="Times New Roman"/>
          <w:sz w:val="32"/>
          <w:szCs w:val="32"/>
        </w:rPr>
        <w:t>І. Вернадського» проводиться постійна робота по удосконаленню внутрішньої системи забезпечення якості освіти.</w:t>
      </w:r>
    </w:p>
    <w:p w:rsidR="00C11814" w:rsidRPr="00E95A98" w:rsidRDefault="00C8192F" w:rsidP="00C8192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Основними завданнями внутрішньої системи забезпечення якості освіти в університеті є: 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постійний моніторинг якості надання освітніх послуг,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розроблення й удосконалення ві</w:t>
      </w:r>
      <w:r w:rsidR="00C11814" w:rsidRPr="00E95A98">
        <w:rPr>
          <w:rFonts w:ascii="Times New Roman" w:hAnsi="Times New Roman" w:cs="Times New Roman"/>
          <w:sz w:val="32"/>
          <w:szCs w:val="32"/>
        </w:rPr>
        <w:t>дповідних процедур моніторингу,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перегляд, поліпшення чинних і ст</w:t>
      </w:r>
      <w:r w:rsidR="00C11814" w:rsidRPr="00E95A98">
        <w:rPr>
          <w:rFonts w:ascii="Times New Roman" w:hAnsi="Times New Roman" w:cs="Times New Roman"/>
          <w:sz w:val="32"/>
          <w:szCs w:val="32"/>
        </w:rPr>
        <w:t>ворення нових освітніх програм,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подальше впровадження культури якості на всіх рівнях, 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перехід на якісно новий рівень інформаційного менеджменту, 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співпраця з роботодавцями, 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мотивація співробітників, 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lastRenderedPageBreak/>
        <w:t xml:space="preserve">покращення рівня навчання, </w:t>
      </w:r>
    </w:p>
    <w:p w:rsidR="00C11814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дотримання принципів доброчесності, </w:t>
      </w:r>
    </w:p>
    <w:p w:rsidR="00C8192F" w:rsidRPr="00E95A98" w:rsidRDefault="00C8192F" w:rsidP="00C118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вивчення досвіду створення та функціонування внутрішніх систем забезпечення якості освіти в університетах України та інших країн.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Університет упевнено рухається до формування цілісної системи забезпечення якості освіти. 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Підписано угоду між університетом і онлайн-сервісом </w:t>
      </w:r>
      <w:proofErr w:type="spellStart"/>
      <w:r w:rsidRPr="00E95A98">
        <w:rPr>
          <w:rFonts w:ascii="Times New Roman" w:hAnsi="Times New Roman" w:cs="Times New Roman"/>
          <w:sz w:val="32"/>
          <w:szCs w:val="32"/>
        </w:rPr>
        <w:t>UniCheck</w:t>
      </w:r>
      <w:proofErr w:type="spellEnd"/>
      <w:r w:rsidRPr="00E95A98">
        <w:rPr>
          <w:rFonts w:ascii="Times New Roman" w:hAnsi="Times New Roman" w:cs="Times New Roman"/>
          <w:sz w:val="32"/>
          <w:szCs w:val="32"/>
        </w:rPr>
        <w:t xml:space="preserve"> для перевірки робіт здобувачів освіти на плагіат, проведено зустріч із представниками компанії, розроблено і введено в дію «Положення про запобігання та виявлення академічного плагіату», проведено тренінги для науково-педагогічних працівників щодо процедур дотримання академічної доброчесності.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Проводиться активна робота з потенційними роботодавцями щодо працевлаштування випускників університету. Роботодавці активно залучаються до моніторингу діючих і експертизи освітніх програм що розробляються.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Протягом 2019 року укладено нові договори про бази практик і потенційне працевлаштування студентів. Така співпраця створює реальну можливість адаптувати освітні програми до потреб ринку і впровадити в подальшому елементи дуальної освіти в освітній процес.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hAnsi="Times New Roman" w:cs="Times New Roman"/>
          <w:sz w:val="32"/>
          <w:szCs w:val="32"/>
        </w:rPr>
        <w:t>Навчально-методичною радою Університету постійно удосконалюються процедури забезпечення якості освіти та навчально-методичного забезпечення</w:t>
      </w:r>
      <w:r w:rsidR="00C11814" w:rsidRPr="00E95A98">
        <w:rPr>
          <w:rFonts w:ascii="Times New Roman" w:hAnsi="Times New Roman" w:cs="Times New Roman"/>
          <w:sz w:val="32"/>
          <w:szCs w:val="32"/>
        </w:rPr>
        <w:t>,</w:t>
      </w:r>
      <w:r w:rsidRPr="00E95A98">
        <w:rPr>
          <w:rFonts w:ascii="Times New Roman" w:hAnsi="Times New Roman" w:cs="Times New Roman"/>
          <w:sz w:val="32"/>
          <w:szCs w:val="32"/>
        </w:rPr>
        <w:t xml:space="preserve"> що спрямовані на якісне 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надання освітніх послуг, активізацію мотивації студентів до навчання, активний перехід до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студентоцентрованого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навчання.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Освітній процес у 2018/2019, 2019/2020 навчальних роках організовано відповідно до затверджених графіків навчання та чинної нормативної бази з питань організації освітнього процесу в університеті.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Особливу увагу протягом звітного періоду приділялось наступним питанням: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- наявності затверджених в установленому порядку освітніх програм, навчальних і робочих навчальних планів, графіків освітнього процесу, робочих програм навчальних дисциплін;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- відповідності змісту навчальних планів і робочих програм навчальних дисциплін освітнім програмам;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- достатності навчально-методичного забезпечення дисциплін (методичних вказівок до лабораторних занять, контрольних робіт, підсумкової атестації, курсових робіт і випускних (дипломних) робіт, самостійної роботи);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- достатності, регулярності і рівня організації поточного контролю;</w:t>
      </w:r>
    </w:p>
    <w:p w:rsidR="00C8192F" w:rsidRPr="00E95A98" w:rsidRDefault="00C8192F" w:rsidP="00D6016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наявності чітких критеріїв оцінювання набутих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компет</w:t>
      </w:r>
      <w:bookmarkStart w:id="0" w:name="_GoBack"/>
      <w:bookmarkEnd w:id="0"/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ентностей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з</w:t>
      </w:r>
      <w:r w:rsidR="00D6016B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кожної дисципліни, у тому числі</w:t>
      </w:r>
      <w:r w:rsidR="00D6016B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всіх видів практик, курсових робіт тощо.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Значні зусилля спрямовано на забезпечення належного рівня організації семестрового контролю і підсумкової атестації здобувачів вищої освіти, прозорості їх проведення, об’єктивності 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оцінювання знань студентів із залученням тестових методик, письмових екзаменів.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Трьома робочими групами з розробки освітніх програм за участю </w:t>
      </w:r>
      <w:r w:rsidR="00967CFC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авчально-наукового центру організації освітнього та виховного процесу  розпочато процедуру підготовки до акредитації у 2020 році освітньо-професійних програм «Соціальна робота», «Готельно-ресторанна справа», «Теплоенергетика».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Пріоритетними завданнями на 2020 рік в освітній діяльності університету можна окреслити: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1. </w:t>
      </w:r>
      <w:r w:rsidR="00AF094E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м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оніторинг і оновлення освітніх програм підготовки фахівців;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2. </w:t>
      </w:r>
      <w:r w:rsidR="00AF094E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у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досконалення процедур реалізації студентом права визначати вибіркові дисципліни;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3</w:t>
      </w:r>
      <w:r w:rsidR="00AF094E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. р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озроблення процедур визнання університетом результатів неформального та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інформального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навчання, здобутих студентами;</w:t>
      </w:r>
    </w:p>
    <w:p w:rsidR="00C8192F" w:rsidRPr="00E95A98" w:rsidRDefault="00C8192F" w:rsidP="00C8192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4. </w:t>
      </w:r>
      <w:r w:rsidR="00AF094E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у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досконалення внутрішньої системи забезпечення якості освітнього процесу в університеті;</w:t>
      </w:r>
    </w:p>
    <w:p w:rsidR="00C8192F" w:rsidRPr="00E95A98" w:rsidRDefault="00AF094E" w:rsidP="00C8192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5. п</w:t>
      </w:r>
      <w:r w:rsidR="00C8192F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ерспективне впровадження електронної системи управління уні</w:t>
      </w:r>
      <w:r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верситетом та освітнім процесом;</w:t>
      </w:r>
    </w:p>
    <w:p w:rsidR="00C8192F" w:rsidRPr="00E95A98" w:rsidRDefault="00C8192F" w:rsidP="00C56E1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6. </w:t>
      </w:r>
      <w:r w:rsidR="00AF094E" w:rsidRPr="00E95A98">
        <w:rPr>
          <w:rFonts w:ascii="Times New Roman" w:hAnsi="Times New Roman" w:cs="Times New Roman"/>
          <w:sz w:val="32"/>
          <w:szCs w:val="32"/>
        </w:rPr>
        <w:t>у</w:t>
      </w:r>
      <w:r w:rsidRPr="00E95A98">
        <w:rPr>
          <w:rFonts w:ascii="Times New Roman" w:hAnsi="Times New Roman" w:cs="Times New Roman"/>
          <w:sz w:val="32"/>
          <w:szCs w:val="32"/>
        </w:rPr>
        <w:t xml:space="preserve">досконалення процедур проведення онлайн-опитувань студентів, викладачів, працівників Університету та зовнішніх </w:t>
      </w:r>
      <w:proofErr w:type="spellStart"/>
      <w:r w:rsidRPr="00E95A98">
        <w:rPr>
          <w:rFonts w:ascii="Times New Roman" w:hAnsi="Times New Roman" w:cs="Times New Roman"/>
          <w:sz w:val="32"/>
          <w:szCs w:val="32"/>
        </w:rPr>
        <w:t>стейкхолдерів</w:t>
      </w:r>
      <w:proofErr w:type="spellEnd"/>
      <w:r w:rsidRPr="00E95A98">
        <w:rPr>
          <w:rFonts w:ascii="Times New Roman" w:hAnsi="Times New Roman" w:cs="Times New Roman"/>
          <w:sz w:val="32"/>
          <w:szCs w:val="32"/>
        </w:rPr>
        <w:t xml:space="preserve"> для збору інформації щодо удосконалення освітнього процесу;</w:t>
      </w:r>
    </w:p>
    <w:p w:rsidR="00C8192F" w:rsidRPr="00E95A98" w:rsidRDefault="00C8192F" w:rsidP="00C56E1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95A98">
        <w:rPr>
          <w:rFonts w:ascii="Times New Roman" w:hAnsi="Times New Roman" w:cs="Times New Roman"/>
          <w:sz w:val="32"/>
          <w:szCs w:val="32"/>
        </w:rPr>
        <w:t xml:space="preserve">7. </w:t>
      </w:r>
      <w:r w:rsidR="00AF094E" w:rsidRPr="00E95A98">
        <w:rPr>
          <w:rFonts w:ascii="Times New Roman" w:hAnsi="Times New Roman" w:cs="Times New Roman"/>
          <w:sz w:val="32"/>
          <w:szCs w:val="32"/>
        </w:rPr>
        <w:t>у</w:t>
      </w:r>
      <w:r w:rsidRPr="00E95A98">
        <w:rPr>
          <w:rFonts w:ascii="Times New Roman" w:hAnsi="Times New Roman" w:cs="Times New Roman"/>
          <w:sz w:val="32"/>
          <w:szCs w:val="32"/>
        </w:rPr>
        <w:t>досконалення процедур, форм та методів підвищення кваліфікації науково-педагогічних та педагогічних працівників університету.</w:t>
      </w:r>
    </w:p>
    <w:p w:rsidR="009C330B" w:rsidRPr="00E95A98" w:rsidRDefault="009C330B" w:rsidP="00C56E1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A98"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  <w:lastRenderedPageBreak/>
        <w:t>V</w:t>
      </w:r>
      <w:r w:rsidR="00AF2325" w:rsidRPr="00E95A98">
        <w:rPr>
          <w:rFonts w:ascii="Times New Roman" w:hAnsi="Times New Roman" w:cs="Times New Roman"/>
          <w:b/>
          <w:sz w:val="32"/>
          <w:szCs w:val="32"/>
        </w:rPr>
        <w:t>І</w:t>
      </w:r>
      <w:r w:rsidRPr="00E95A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5E9F" w:rsidRPr="00E95A98" w:rsidRDefault="005A5E9F" w:rsidP="00C56E11">
      <w:pPr>
        <w:pStyle w:val="1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b/>
          <w:sz w:val="32"/>
          <w:szCs w:val="32"/>
          <w:highlight w:val="white"/>
          <w:lang w:val="uk-UA"/>
        </w:rPr>
        <w:t>Міжнародна діяльність 2019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Міжнародна діяльність </w:t>
      </w:r>
      <w:r w:rsidR="00C56E11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У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ніверситету спрямована на забезпечення його інтеграції з міжнародною університетською спільнотою.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У 2019 року в ТНУ була розроблена і прийнята Стратегія інтернаціоналізації, в якій пріоритетними факторами розвитку були визначені: </w:t>
      </w:r>
    </w:p>
    <w:p w:rsidR="005A5E9F" w:rsidRPr="00E95A98" w:rsidRDefault="005A5E9F" w:rsidP="00C56E11">
      <w:pPr>
        <w:pStyle w:val="1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формування іміджу університету як науково-дослідного освітнього центру;</w:t>
      </w:r>
    </w:p>
    <w:p w:rsidR="005A5E9F" w:rsidRPr="00E95A98" w:rsidRDefault="005A5E9F" w:rsidP="00C56E11">
      <w:pPr>
        <w:pStyle w:val="1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створення системи академічної мобільності; </w:t>
      </w:r>
    </w:p>
    <w:p w:rsidR="005A5E9F" w:rsidRPr="00E95A98" w:rsidRDefault="005A5E9F" w:rsidP="00C56E11">
      <w:pPr>
        <w:pStyle w:val="1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імплементація міжнародних вимог до якості освіти, зокрема щодо опанування іноземними мовами; </w:t>
      </w:r>
    </w:p>
    <w:p w:rsidR="005A5E9F" w:rsidRPr="00E95A98" w:rsidRDefault="005A5E9F" w:rsidP="00C56E11">
      <w:pPr>
        <w:pStyle w:val="1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розуміння актуальних регіональних проблем та глобальних викликів в контексті дисциплін, що викладаються;</w:t>
      </w:r>
    </w:p>
    <w:p w:rsidR="005A5E9F" w:rsidRPr="00E95A98" w:rsidRDefault="005A5E9F" w:rsidP="00C56E11">
      <w:pPr>
        <w:pStyle w:val="1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врахування інтернаціонального виміру при розробці освітніх програм;</w:t>
      </w:r>
    </w:p>
    <w:p w:rsidR="005A5E9F" w:rsidRPr="00E95A98" w:rsidRDefault="005A5E9F" w:rsidP="00C56E11">
      <w:pPr>
        <w:pStyle w:val="1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адаптація викладання навчальних дисциплін шляхом формування міжнародної компетенції в процесі підготовки фахівців;</w:t>
      </w:r>
    </w:p>
    <w:p w:rsidR="005A5E9F" w:rsidRPr="00E95A98" w:rsidRDefault="005A5E9F" w:rsidP="00C56E11">
      <w:pPr>
        <w:pStyle w:val="1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розроблення спільних із зарубіжними партнерами навчальних програм і навчальних матеріалів.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У контексті даної стратегії були визначені ключові напрямки діяльності. В рамках співпраці із закордонними університетами, освітніми установами та науковими організаціями були підписані договори в Китаї з </w:t>
      </w:r>
      <w:r w:rsidRPr="00E95A98">
        <w:rPr>
          <w:rFonts w:ascii="Times New Roman" w:eastAsia="Calibri" w:hAnsi="Times New Roman" w:cs="Times New Roman"/>
          <w:b/>
          <w:sz w:val="32"/>
          <w:szCs w:val="32"/>
          <w:lang w:val="uk-UA"/>
        </w:rPr>
        <w:t>7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університетами, в Польщі </w:t>
      </w:r>
      <w:r w:rsidR="00497763" w:rsidRPr="00E95A98">
        <w:rPr>
          <w:rFonts w:ascii="Times New Roman" w:eastAsia="Calibri" w:hAnsi="Times New Roman" w:cs="Times New Roman"/>
          <w:sz w:val="32"/>
          <w:szCs w:val="32"/>
          <w:lang w:eastAsia="en-US"/>
        </w:rPr>
        <w:t>–</w:t>
      </w:r>
      <w:r w:rsidR="00497763" w:rsidRPr="00E95A98"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 </w:t>
      </w:r>
      <w:r w:rsidRPr="00E95A98">
        <w:rPr>
          <w:rFonts w:ascii="Times New Roman" w:eastAsia="Calibri" w:hAnsi="Times New Roman" w:cs="Times New Roman"/>
          <w:b/>
          <w:sz w:val="32"/>
          <w:szCs w:val="32"/>
          <w:lang w:val="uk-UA"/>
        </w:rPr>
        <w:t>5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а також з 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науковими та культурно-просвітницькими організаціями Франції, Туреччини і т.</w:t>
      </w:r>
      <w:r w:rsidR="00C56E11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д.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У ТНУ була запущена академічна мобільність за кількома спеціальностями (економіка, менеджмент, журналістика, філологія, середня освіта) з університетами Польщі та Туреччини (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Baskent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University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</w:t>
      </w:r>
      <w:hyperlink r:id="rId5">
        <w:proofErr w:type="spellStart"/>
        <w:r w:rsidRPr="00E95A98">
          <w:rPr>
            <w:rFonts w:ascii="Times New Roman" w:eastAsia="Calibri" w:hAnsi="Times New Roman" w:cs="Times New Roman"/>
            <w:sz w:val="32"/>
            <w:szCs w:val="32"/>
            <w:lang w:val="uk-UA"/>
          </w:rPr>
          <w:t>Akademia</w:t>
        </w:r>
        <w:proofErr w:type="spellEnd"/>
        <w:r w:rsidRPr="00E95A98">
          <w:rPr>
            <w:rFonts w:ascii="Times New Roman" w:eastAsia="Calibri" w:hAnsi="Times New Roman" w:cs="Times New Roman"/>
            <w:sz w:val="32"/>
            <w:szCs w:val="32"/>
            <w:lang w:val="uk-UA"/>
          </w:rPr>
          <w:t xml:space="preserve"> </w:t>
        </w:r>
        <w:proofErr w:type="spellStart"/>
        <w:r w:rsidRPr="00E95A98">
          <w:rPr>
            <w:rFonts w:ascii="Times New Roman" w:eastAsia="Calibri" w:hAnsi="Times New Roman" w:cs="Times New Roman"/>
            <w:sz w:val="32"/>
            <w:szCs w:val="32"/>
            <w:lang w:val="uk-UA"/>
          </w:rPr>
          <w:t>Ekonomiczno-Humanistyczna</w:t>
        </w:r>
        <w:proofErr w:type="spellEnd"/>
        <w:r w:rsidRPr="00E95A98">
          <w:rPr>
            <w:rFonts w:ascii="Times New Roman" w:eastAsia="Calibri" w:hAnsi="Times New Roman" w:cs="Times New Roman"/>
            <w:sz w:val="32"/>
            <w:szCs w:val="32"/>
            <w:lang w:val="uk-UA"/>
          </w:rPr>
          <w:t xml:space="preserve"> w </w:t>
        </w:r>
        <w:proofErr w:type="spellStart"/>
        <w:r w:rsidRPr="00E95A98">
          <w:rPr>
            <w:rFonts w:ascii="Times New Roman" w:eastAsia="Calibri" w:hAnsi="Times New Roman" w:cs="Times New Roman"/>
            <w:sz w:val="32"/>
            <w:szCs w:val="32"/>
            <w:lang w:val="uk-UA"/>
          </w:rPr>
          <w:t>Warszawie</w:t>
        </w:r>
        <w:proofErr w:type="spellEnd"/>
      </w:hyperlink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).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Таврійський ун</w:t>
      </w:r>
      <w:r w:rsidR="00C56E11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іверситет провів і взяв участь у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понад </w:t>
      </w:r>
      <w:r w:rsidRPr="00E95A98">
        <w:rPr>
          <w:rFonts w:ascii="Times New Roman" w:eastAsia="Calibri" w:hAnsi="Times New Roman" w:cs="Times New Roman"/>
          <w:b/>
          <w:sz w:val="32"/>
          <w:szCs w:val="32"/>
          <w:lang w:val="uk-UA"/>
        </w:rPr>
        <w:t>40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міжнародних заходах, серед яких участь в програмах Британської Ради, фонду Фрідріха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Еберта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Інституту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Юнуса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Емре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та ін.</w:t>
      </w:r>
    </w:p>
    <w:p w:rsidR="003A1192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Протягом року ТНУ постійно брав участь в заходах Фонду імені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Фулбрайта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. На базі університету були проведені лекції </w:t>
      </w:r>
      <w:r w:rsidR="00C56E11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циклу семінарів 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з професійного розвитку для викладачів переміщених університетів зі Сходу України, зокрема</w:t>
      </w:r>
      <w:r w:rsidR="00C56E11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,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Seminar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«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University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Administration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,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International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Development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and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US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University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Partnerships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». </w:t>
      </w:r>
    </w:p>
    <w:p w:rsidR="00C56E11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ТНУ прийняв участь в роботі Академії лідерства з інтернаціоналізації</w:t>
      </w:r>
      <w:r w:rsidR="00C56E11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.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 xml:space="preserve">У 2019-2020 році, за підтримки Фонду </w:t>
      </w:r>
      <w:proofErr w:type="spellStart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Фулбрайта</w:t>
      </w:r>
      <w:proofErr w:type="spellEnd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 xml:space="preserve"> в Україні, за програмою ENGLISH LANGUAGE FELLOW PROGRAM, в Таврійський університет в якості професійного викладача </w:t>
      </w:r>
      <w:r w:rsidR="00497763" w:rsidRPr="00E95A98">
        <w:rPr>
          <w:rFonts w:ascii="Times New Roman" w:eastAsia="Calibri" w:hAnsi="Times New Roman" w:cs="Times New Roman"/>
          <w:sz w:val="32"/>
          <w:szCs w:val="32"/>
          <w:lang w:val="uk-UA" w:eastAsia="en-US"/>
        </w:rPr>
        <w:t>–</w:t>
      </w:r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 xml:space="preserve"> носія мови був запрошений для роботи </w:t>
      </w:r>
      <w:proofErr w:type="spellStart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Франциско</w:t>
      </w:r>
      <w:proofErr w:type="spellEnd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 xml:space="preserve"> </w:t>
      </w:r>
      <w:proofErr w:type="spellStart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Ресто</w:t>
      </w:r>
      <w:proofErr w:type="spellEnd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 xml:space="preserve">. У співпраці з паном </w:t>
      </w:r>
      <w:proofErr w:type="spellStart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Ресто</w:t>
      </w:r>
      <w:proofErr w:type="spellEnd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 xml:space="preserve"> в ТНУ організована серія міжвузівських семінарів та </w:t>
      </w:r>
      <w:proofErr w:type="spellStart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воркшопів</w:t>
      </w:r>
      <w:proofErr w:type="spellEnd"/>
      <w:r w:rsidR="003A1192"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 xml:space="preserve"> з викладацької майстерності, методиці вивчення мови і т. д.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2019 рік пройшов в тісній співпраці з Посольством США. ТНУ приймає участь в </w:t>
      </w:r>
      <w:r w:rsidRPr="00E95A98">
        <w:rPr>
          <w:rFonts w:ascii="Times New Roman" w:eastAsia="Calibri" w:hAnsi="Times New Roman" w:cs="Times New Roman"/>
          <w:b/>
          <w:sz w:val="32"/>
          <w:szCs w:val="32"/>
          <w:highlight w:val="white"/>
          <w:lang w:val="uk-UA"/>
        </w:rPr>
        <w:t>4-х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проектах, організованих за підтримки відділу преси, освіти та культури.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lastRenderedPageBreak/>
        <w:t>Була організована передача книг в бібліотеку ТНУ від посольства США. Крім цього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,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ТНУ був обраний для участі в грантовій програмі  “Підтримка переміщених університетів” задля формування спроможност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і бібліотек та активізації їх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діяльності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,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як центрів підтримки освітнього та наукового процесів. Університет також бере участь в тренінгу “Університетська бібліотека в системі наукових комунікацій”. 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Проект ТНУ був також обраний для участі в грантовій програмі "Зміцнення переміщ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ених українських УНІВЕРСИТЕТІВ задля сталого розвитку", 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роботу над якою буде продовжено 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в 2020 році.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У співпраці з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America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House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були організовані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воркшопи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з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медіаграмотності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для студентів.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</w:p>
    <w:p w:rsidR="005A5E9F" w:rsidRPr="00E95A98" w:rsidRDefault="005A5E9F" w:rsidP="003A1192">
      <w:pPr>
        <w:pStyle w:val="1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highlight w:val="white"/>
          <w:lang w:val="uk-UA"/>
        </w:rPr>
        <w:t>Викладацька майстерність</w:t>
      </w:r>
    </w:p>
    <w:p w:rsidR="003A1192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Проект ТНУ "</w:t>
      </w:r>
      <w:proofErr w:type="spellStart"/>
      <w:r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Тьюторинг</w:t>
      </w:r>
      <w:proofErr w:type="spellEnd"/>
      <w:r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 xml:space="preserve"> у вищій освіті" виграв у конкурсі стратегічного практикуму Національного агентства із забезпечення якості освіти в рамках проекту “Зміцнення викладання та навчання в українських університетах”, започаткованого ГО Вище та Саксонським центром підвищення кваліфікації викладачів в Лейпцигу, за фінансування Міністерства зовнішніх справ Німеччини. 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ТНУ імені В. І. Вернадського успішно приймав участь в заходах, організованих центром дидактики: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color w:val="000000" w:themeColor="text1"/>
          <w:sz w:val="32"/>
          <w:szCs w:val="32"/>
          <w:highlight w:val="white"/>
          <w:lang w:val="uk-UA"/>
        </w:rPr>
        <w:t>1) міжнародна науково-методична конференція «Нові концепції викладання у світлі інноваційних досягнень європейської дидактики вищої школи»;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lastRenderedPageBreak/>
        <w:t>2) майстер-клас для українських та німецьких викладачів в Університеті Лейпцигу «Навчати, вчитися та контролювати знання з акцентом на розвиток компетентностей у вищій школі».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ТНУ є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digital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партнером міжнародної корпорації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Pearson</w:t>
      </w:r>
      <w:proofErr w:type="spellEnd"/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Dinternal</w:t>
      </w:r>
      <w:proofErr w:type="spellEnd"/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. Вивчення англійської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мов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и в Університеті проводиться з 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використання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м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освітніх технологій корпорації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Pearson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з Інтернет-підтримкою. Під час навчання студенти поділяються на групи за системою CEFR (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The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Common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European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Framework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of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Reference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for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Languages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) та мають можливість скласти іспит на міжнародний сертифікат.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На базі ТНУ за підтримки Фонду Фрідріха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Е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гберта</w:t>
      </w:r>
      <w:proofErr w:type="spellEnd"/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був проведений тренінг з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інклюзії у вищій освіті для обміну досвідом, вивчення кращих практик викладання в інклюзивних групах, імплементації інклюзивної освіти.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Таврійський університет за підтримки посольства Королівства Норвегії та норвезької журналістської організації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CityMedia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розробив проект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Truthful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Journalism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, в якому приймають участь студенти-журналісти. Проект передбачає роботи за кількома напрямами, серед яких створен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ня команди з ведення проектів з організації </w:t>
      </w:r>
      <w:r w:rsidR="003A1192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університетських п</w:t>
      </w:r>
      <w:r w:rsidR="009802F7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о</w:t>
      </w:r>
      <w:r w:rsidR="003A1192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дкастів, створення </w:t>
      </w:r>
      <w:r w:rsidR="003A1192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редакційної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колегії тощо.</w:t>
      </w:r>
    </w:p>
    <w:p w:rsidR="005A5E9F" w:rsidRPr="00E95A98" w:rsidRDefault="005A5E9F" w:rsidP="003A1192">
      <w:pPr>
        <w:pStyle w:val="1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b/>
          <w:sz w:val="32"/>
          <w:szCs w:val="32"/>
          <w:highlight w:val="white"/>
          <w:lang w:val="uk-UA"/>
        </w:rPr>
        <w:t>ТНУ - НАТО</w:t>
      </w:r>
    </w:p>
    <w:p w:rsidR="003A1192" w:rsidRPr="00E95A98" w:rsidRDefault="003A1192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В ТНУ пройшла конференція з Чорноморської</w:t>
      </w:r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безпе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ки</w:t>
      </w:r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, присвячена проблемам безпеки і Криму, організован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а</w:t>
      </w:r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спільно з Центром «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Номос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», Центром гл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обальних студій «Стратегія ХХІ».</w:t>
      </w:r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lastRenderedPageBreak/>
        <w:t xml:space="preserve">За підтримки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Фонда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Конрада Аденауера в ТНУ була проведена конференція «Путінські війни у Східній Європі: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Посткримська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реальність». </w:t>
      </w:r>
    </w:p>
    <w:p w:rsidR="005A5E9F" w:rsidRPr="00E95A98" w:rsidRDefault="007E1AB3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Представники ТНУ брали участь у:</w:t>
      </w:r>
    </w:p>
    <w:p w:rsidR="005A5E9F" w:rsidRPr="00E95A98" w:rsidRDefault="005A5E9F" w:rsidP="007E1AB3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круглому столі Центру Разумкова «Війна на Донбасі: реал</w:t>
      </w:r>
      <w:r w:rsidR="007E1AB3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ії і перспективи врегулювання»;</w:t>
      </w:r>
    </w:p>
    <w:p w:rsidR="005A5E9F" w:rsidRPr="00E95A98" w:rsidRDefault="005A5E9F" w:rsidP="007E1AB3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другому міжнародному форумі «Реінтеграція на Донбасі </w:t>
      </w:r>
      <w:r w:rsidR="007E1AB3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–</w:t>
      </w: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поліпшення гуманітарної ситуації і зміцнення контактів </w:t>
      </w:r>
      <w:r w:rsidR="007E1AB3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між людьми в регіоні конфлікту»;</w:t>
      </w:r>
    </w:p>
    <w:p w:rsidR="005A5E9F" w:rsidRPr="00E95A98" w:rsidRDefault="005A5E9F" w:rsidP="007E1AB3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прес-конференції Фонду «Демократичні ініціативи» імені Ілька </w:t>
      </w:r>
      <w:proofErr w:type="spellStart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Кучеріва</w:t>
      </w:r>
      <w:proofErr w:type="spellEnd"/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«Шл</w:t>
      </w:r>
      <w:r w:rsidR="007E1AB3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яхи досягнення миру на Донбасі”;</w:t>
      </w:r>
    </w:p>
    <w:p w:rsidR="005A5E9F" w:rsidRPr="00E95A98" w:rsidRDefault="007E1AB3" w:rsidP="007E1AB3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к</w:t>
      </w:r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онференції «П’ять років окупації Криму: прогнози, реальність, виклики»/ Організатори: Меджліс кримськотатарського народу, Східноєвропейський Інститут Розвитку (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East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European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Development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Institute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), за сприяння 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Bureau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de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Helling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 (Нідерланди), </w:t>
      </w:r>
      <w:proofErr w:type="spellStart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>м.Київ</w:t>
      </w:r>
      <w:proofErr w:type="spellEnd"/>
      <w:r w:rsidR="005A5E9F" w:rsidRPr="00E95A98">
        <w:rPr>
          <w:rFonts w:ascii="Times New Roman" w:eastAsia="Calibri" w:hAnsi="Times New Roman" w:cs="Times New Roman"/>
          <w:sz w:val="32"/>
          <w:szCs w:val="32"/>
          <w:highlight w:val="white"/>
          <w:lang w:val="uk-UA"/>
        </w:rPr>
        <w:t xml:space="preserve">, 16 січня 2019 року. 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В ТНУ пройшла зустріч представників Атлантичної Ради України, Громадської ліги "Україна-НАТО" та Молодіжної Атлантичної Ради України зі студентами з нагоди 70-річчя НАТО. Була організована виставка "Україна-НАТО".</w:t>
      </w:r>
    </w:p>
    <w:p w:rsidR="005A5E9F" w:rsidRPr="00E95A98" w:rsidRDefault="007E1AB3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За звітний період</w:t>
      </w:r>
      <w:r w:rsidR="005A5E9F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співробітники 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Університету </w:t>
      </w:r>
      <w:r w:rsidR="005A5E9F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взяли участь в </w:t>
      </w:r>
      <w:r w:rsidR="005A5E9F" w:rsidRPr="00E95A98">
        <w:rPr>
          <w:rFonts w:ascii="Times New Roman" w:eastAsia="Calibri" w:hAnsi="Times New Roman" w:cs="Times New Roman"/>
          <w:b/>
          <w:sz w:val="32"/>
          <w:szCs w:val="32"/>
          <w:lang w:val="uk-UA"/>
        </w:rPr>
        <w:t>61</w:t>
      </w:r>
      <w:r w:rsidR="005A5E9F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міжнародному стажуванні. Було подано </w:t>
      </w:r>
      <w:r w:rsidR="005A5E9F" w:rsidRPr="00E95A98">
        <w:rPr>
          <w:rFonts w:ascii="Times New Roman" w:eastAsia="Calibri" w:hAnsi="Times New Roman" w:cs="Times New Roman"/>
          <w:b/>
          <w:sz w:val="32"/>
          <w:szCs w:val="32"/>
          <w:lang w:val="uk-UA"/>
        </w:rPr>
        <w:t>9</w:t>
      </w:r>
      <w:r w:rsidR="005A5E9F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аплікаційних заявок на участь в грантових програмах. ТНУ </w:t>
      </w:r>
      <w:r w:rsidR="009A0BF8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>приймало участь</w:t>
      </w:r>
      <w:r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</w:t>
      </w:r>
      <w:r w:rsidR="005A5E9F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понад</w:t>
      </w:r>
      <w:r w:rsidR="009A0BF8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5A5E9F" w:rsidRPr="00E95A98">
        <w:rPr>
          <w:rFonts w:ascii="Times New Roman" w:eastAsia="Calibri" w:hAnsi="Times New Roman" w:cs="Times New Roman"/>
          <w:b/>
          <w:sz w:val="32"/>
          <w:szCs w:val="32"/>
          <w:lang w:val="uk-UA"/>
        </w:rPr>
        <w:t>100</w:t>
      </w:r>
      <w:r w:rsidR="009A0BF8" w:rsidRPr="00E95A9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5A5E9F" w:rsidRPr="00E95A98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міжнародних конференціях, проведено 11 лекцій іноземних лекторів.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5A5E9F" w:rsidRPr="00E95A98" w:rsidRDefault="005A5E9F" w:rsidP="00C56E11">
      <w:pPr>
        <w:pStyle w:val="1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E95A9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uk-UA"/>
        </w:rPr>
        <w:lastRenderedPageBreak/>
        <w:t>Центр міжнародної освіти</w:t>
      </w:r>
    </w:p>
    <w:p w:rsidR="005A5E9F" w:rsidRPr="00E95A98" w:rsidRDefault="005A5E9F" w:rsidP="007E1AB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</w:pP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В </w:t>
      </w:r>
      <w:r w:rsidR="007E1AB3"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2019 році в </w:t>
      </w: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Центрі міжнародної освіти пройшло навчання 56 студ</w:t>
      </w:r>
      <w:r w:rsidR="007E1AB3"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ентів на підготовчому відділені. Як вже зазначалось, в Університеті навчається 85 іноземних студентів - </w:t>
      </w: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з Алжиру, Китаю, Туркменістану, Іраку та Лівії. Було укладено договір про співпрацю з набору іноземних громадян на навчання з ОАЕ. </w:t>
      </w:r>
    </w:p>
    <w:p w:rsidR="005A5E9F" w:rsidRPr="00E95A98" w:rsidRDefault="005A5E9F" w:rsidP="00C56E1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</w:pP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В Центрі міжнародної освіти в 2019 році </w:t>
      </w:r>
      <w:r w:rsidR="007E1AB3"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проводилось р</w:t>
      </w: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озширення співпраці з міжнаро</w:t>
      </w:r>
      <w:r w:rsidR="007E1AB3"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дними асоціаціями університетів, п</w:t>
      </w: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ідтримання контактів з випускниками ТНУ за кордоном, створення спільних</w:t>
      </w:r>
      <w:r w:rsidR="007E1AB3"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кафедр,</w:t>
      </w: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="007E1AB3"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з</w:t>
      </w: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алучення іноземних лекторів, фахівців до роботи в університеті. </w:t>
      </w:r>
    </w:p>
    <w:p w:rsidR="005A5E9F" w:rsidRPr="00E95A98" w:rsidRDefault="007E1AB3" w:rsidP="00C56E1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</w:pP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Створено</w:t>
      </w:r>
      <w:r w:rsidR="005A5E9F"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умов</w:t>
      </w: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>и</w:t>
      </w:r>
      <w:r w:rsidR="005A5E9F"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для підвищення позицій університету в міжнародних системах рейтингового оцінювання.</w:t>
      </w:r>
    </w:p>
    <w:p w:rsidR="007E1AB3" w:rsidRPr="00E95A98" w:rsidRDefault="005A5E9F" w:rsidP="007E1AB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uk-UA"/>
        </w:rPr>
      </w:pPr>
      <w:r w:rsidRPr="00E95A9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 </w:t>
      </w:r>
    </w:p>
    <w:p w:rsidR="009C330B" w:rsidRPr="00E95A98" w:rsidRDefault="00AF2325" w:rsidP="007E1AB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95A98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9C330B" w:rsidRPr="00E95A98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</w:p>
    <w:p w:rsidR="005A5E9F" w:rsidRPr="00E95A98" w:rsidRDefault="005A5E9F" w:rsidP="005A5E9F">
      <w:pPr>
        <w:pStyle w:val="1"/>
        <w:tabs>
          <w:tab w:val="left" w:pos="320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E95A9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Наукова та видавнича діяльність.</w:t>
      </w:r>
    </w:p>
    <w:p w:rsidR="005A5E9F" w:rsidRPr="00E95A98" w:rsidRDefault="005A5E9F" w:rsidP="005A5E9F">
      <w:pPr>
        <w:pStyle w:val="xfm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>У Таврійському університеті ведеться активна наукова і видавнича робота.</w:t>
      </w:r>
    </w:p>
    <w:p w:rsidR="005A5E9F" w:rsidRPr="00E95A98" w:rsidRDefault="005A5E9F" w:rsidP="005A5E9F">
      <w:pPr>
        <w:pStyle w:val="xfm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>В даний час в Університеті працює </w:t>
      </w:r>
      <w:r w:rsidRPr="00E95A98">
        <w:rPr>
          <w:color w:val="000000"/>
          <w:sz w:val="32"/>
          <w:szCs w:val="32"/>
          <w:u w:val="single"/>
        </w:rPr>
        <w:t>докторантура</w:t>
      </w:r>
      <w:r w:rsidRPr="00E95A98">
        <w:rPr>
          <w:color w:val="000000"/>
          <w:sz w:val="32"/>
          <w:szCs w:val="32"/>
        </w:rPr>
        <w:t> за спеціальностями</w:t>
      </w:r>
      <w:r w:rsidR="004B6F27" w:rsidRPr="00E95A98">
        <w:rPr>
          <w:color w:val="000000"/>
          <w:sz w:val="32"/>
          <w:szCs w:val="32"/>
        </w:rPr>
        <w:t>:</w:t>
      </w:r>
      <w:r w:rsidRPr="00E95A98">
        <w:rPr>
          <w:color w:val="000000"/>
          <w:sz w:val="32"/>
          <w:szCs w:val="32"/>
        </w:rPr>
        <w:t xml:space="preserve"> </w:t>
      </w:r>
    </w:p>
    <w:p w:rsidR="007E1AB3" w:rsidRPr="00E95A98" w:rsidRDefault="004B6F27" w:rsidP="004B6F27">
      <w:pPr>
        <w:pStyle w:val="xfm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>032 «</w:t>
      </w:r>
      <w:r w:rsidR="005A5E9F" w:rsidRPr="00E95A98">
        <w:rPr>
          <w:color w:val="000000"/>
          <w:sz w:val="32"/>
          <w:szCs w:val="32"/>
        </w:rPr>
        <w:t>Історія та археологія</w:t>
      </w:r>
      <w:r w:rsidRPr="00E95A98">
        <w:rPr>
          <w:color w:val="000000"/>
          <w:sz w:val="32"/>
          <w:szCs w:val="32"/>
        </w:rPr>
        <w:t>»;</w:t>
      </w:r>
    </w:p>
    <w:p w:rsidR="004B6F27" w:rsidRPr="00E95A98" w:rsidRDefault="005A5E9F" w:rsidP="004B6F27">
      <w:pPr>
        <w:pStyle w:val="xfm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281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Публічне управління та адміністрування</w:t>
      </w:r>
      <w:r w:rsidR="004B6F27" w:rsidRPr="00E95A98">
        <w:rPr>
          <w:color w:val="000000"/>
          <w:sz w:val="32"/>
          <w:szCs w:val="32"/>
        </w:rPr>
        <w:t>»;</w:t>
      </w:r>
      <w:r w:rsidRPr="00E95A98">
        <w:rPr>
          <w:color w:val="000000"/>
          <w:sz w:val="32"/>
          <w:szCs w:val="32"/>
        </w:rPr>
        <w:t xml:space="preserve"> </w:t>
      </w:r>
    </w:p>
    <w:p w:rsidR="004B6F27" w:rsidRPr="00E95A98" w:rsidRDefault="005A5E9F" w:rsidP="004B6F27">
      <w:pPr>
        <w:pStyle w:val="xfm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051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Економіка</w:t>
      </w:r>
      <w:r w:rsidR="004B6F27" w:rsidRPr="00E95A98">
        <w:rPr>
          <w:color w:val="000000"/>
          <w:sz w:val="32"/>
          <w:szCs w:val="32"/>
        </w:rPr>
        <w:t>»;</w:t>
      </w:r>
      <w:r w:rsidRPr="00E95A98">
        <w:rPr>
          <w:color w:val="000000"/>
          <w:sz w:val="32"/>
          <w:szCs w:val="32"/>
        </w:rPr>
        <w:t xml:space="preserve"> </w:t>
      </w:r>
    </w:p>
    <w:p w:rsidR="004B6F27" w:rsidRPr="00E95A98" w:rsidRDefault="005A5E9F" w:rsidP="004B6F27">
      <w:pPr>
        <w:pStyle w:val="xfm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>033</w:t>
      </w:r>
      <w:r w:rsidR="004B6F27" w:rsidRPr="00E95A98">
        <w:rPr>
          <w:color w:val="000000"/>
          <w:sz w:val="32"/>
          <w:szCs w:val="32"/>
        </w:rPr>
        <w:t xml:space="preserve"> «</w:t>
      </w:r>
      <w:r w:rsidRPr="00E95A98">
        <w:rPr>
          <w:color w:val="000000"/>
          <w:sz w:val="32"/>
          <w:szCs w:val="32"/>
        </w:rPr>
        <w:t>Філософія</w:t>
      </w:r>
      <w:r w:rsidR="004B6F27" w:rsidRPr="00E95A98">
        <w:rPr>
          <w:color w:val="000000"/>
          <w:sz w:val="32"/>
          <w:szCs w:val="32"/>
        </w:rPr>
        <w:t>»;</w:t>
      </w:r>
    </w:p>
    <w:p w:rsidR="004B6F27" w:rsidRPr="00E95A98" w:rsidRDefault="005A5E9F" w:rsidP="004B6F27">
      <w:pPr>
        <w:pStyle w:val="xfm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035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Філологія</w:t>
      </w:r>
      <w:r w:rsidR="004B6F27" w:rsidRPr="00E95A98">
        <w:rPr>
          <w:color w:val="000000"/>
          <w:sz w:val="32"/>
          <w:szCs w:val="32"/>
        </w:rPr>
        <w:t>»;</w:t>
      </w:r>
      <w:r w:rsidRPr="00E95A98">
        <w:rPr>
          <w:color w:val="000000"/>
          <w:sz w:val="32"/>
          <w:szCs w:val="32"/>
        </w:rPr>
        <w:t xml:space="preserve"> </w:t>
      </w:r>
    </w:p>
    <w:p w:rsidR="004B6F27" w:rsidRPr="00E95A98" w:rsidRDefault="005A5E9F" w:rsidP="004B6F27">
      <w:pPr>
        <w:pStyle w:val="xfm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081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Право</w:t>
      </w:r>
      <w:r w:rsidR="004B6F27" w:rsidRPr="00E95A98">
        <w:rPr>
          <w:color w:val="000000"/>
          <w:sz w:val="32"/>
          <w:szCs w:val="32"/>
        </w:rPr>
        <w:t>».</w:t>
      </w:r>
    </w:p>
    <w:p w:rsidR="004B6F27" w:rsidRPr="00E95A98" w:rsidRDefault="004B6F27" w:rsidP="004B6F27">
      <w:pPr>
        <w:pStyle w:val="xfm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lastRenderedPageBreak/>
        <w:t xml:space="preserve">А </w:t>
      </w:r>
      <w:r w:rsidR="005A5E9F" w:rsidRPr="00E95A98">
        <w:rPr>
          <w:color w:val="000000"/>
          <w:sz w:val="32"/>
          <w:szCs w:val="32"/>
        </w:rPr>
        <w:t>також </w:t>
      </w:r>
      <w:r w:rsidR="005A5E9F" w:rsidRPr="00E95A98">
        <w:rPr>
          <w:color w:val="000000"/>
          <w:sz w:val="32"/>
          <w:szCs w:val="32"/>
          <w:u w:val="single"/>
        </w:rPr>
        <w:t>аспірантура</w:t>
      </w:r>
      <w:r w:rsidRPr="00E95A98">
        <w:rPr>
          <w:color w:val="000000"/>
          <w:sz w:val="32"/>
          <w:szCs w:val="32"/>
        </w:rPr>
        <w:t> за спеціальностями:</w:t>
      </w:r>
    </w:p>
    <w:p w:rsidR="004B6F27" w:rsidRPr="00E95A98" w:rsidRDefault="005A5E9F" w:rsidP="004B6F27">
      <w:pPr>
        <w:pStyle w:val="xfmc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>032</w:t>
      </w:r>
      <w:r w:rsidR="004B6F27" w:rsidRPr="00E95A98">
        <w:rPr>
          <w:color w:val="000000"/>
          <w:sz w:val="32"/>
          <w:szCs w:val="32"/>
        </w:rPr>
        <w:t xml:space="preserve"> «І</w:t>
      </w:r>
      <w:r w:rsidRPr="00E95A98">
        <w:rPr>
          <w:color w:val="000000"/>
          <w:sz w:val="32"/>
          <w:szCs w:val="32"/>
        </w:rPr>
        <w:t>сторія та археологія</w:t>
      </w:r>
      <w:r w:rsidR="004B6F27" w:rsidRPr="00E95A98">
        <w:rPr>
          <w:color w:val="000000"/>
          <w:sz w:val="32"/>
          <w:szCs w:val="32"/>
        </w:rPr>
        <w:t>»;</w:t>
      </w:r>
    </w:p>
    <w:p w:rsidR="004B6F27" w:rsidRPr="00E95A98" w:rsidRDefault="005A5E9F" w:rsidP="004B6F27">
      <w:pPr>
        <w:pStyle w:val="xfmc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033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Філософія</w:t>
      </w:r>
      <w:r w:rsidR="004B6F27" w:rsidRPr="00E95A98">
        <w:rPr>
          <w:color w:val="000000"/>
          <w:sz w:val="32"/>
          <w:szCs w:val="32"/>
        </w:rPr>
        <w:t>»;</w:t>
      </w:r>
    </w:p>
    <w:p w:rsidR="004B6F27" w:rsidRPr="00E95A98" w:rsidRDefault="005A5E9F" w:rsidP="004B6F27">
      <w:pPr>
        <w:pStyle w:val="xfmc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051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Економіка</w:t>
      </w:r>
      <w:r w:rsidR="004B6F27" w:rsidRPr="00E95A98">
        <w:rPr>
          <w:color w:val="000000"/>
          <w:sz w:val="32"/>
          <w:szCs w:val="32"/>
        </w:rPr>
        <w:t>»;</w:t>
      </w:r>
    </w:p>
    <w:p w:rsidR="004B6F27" w:rsidRPr="00E95A98" w:rsidRDefault="005A5E9F" w:rsidP="004B6F27">
      <w:pPr>
        <w:pStyle w:val="xfmc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081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Право</w:t>
      </w:r>
      <w:r w:rsidR="004B6F27" w:rsidRPr="00E95A98">
        <w:rPr>
          <w:color w:val="000000"/>
          <w:sz w:val="32"/>
          <w:szCs w:val="32"/>
        </w:rPr>
        <w:t>»;</w:t>
      </w:r>
    </w:p>
    <w:p w:rsidR="004B6F27" w:rsidRPr="00E95A98" w:rsidRDefault="005A5E9F" w:rsidP="004B6F27">
      <w:pPr>
        <w:pStyle w:val="xfmc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053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Психологія</w:t>
      </w:r>
      <w:r w:rsidR="004B6F27" w:rsidRPr="00E95A98">
        <w:rPr>
          <w:color w:val="000000"/>
          <w:sz w:val="32"/>
          <w:szCs w:val="32"/>
        </w:rPr>
        <w:t>»;</w:t>
      </w:r>
      <w:r w:rsidRPr="00E95A98">
        <w:rPr>
          <w:color w:val="000000"/>
          <w:sz w:val="32"/>
          <w:szCs w:val="32"/>
        </w:rPr>
        <w:t xml:space="preserve"> </w:t>
      </w:r>
    </w:p>
    <w:p w:rsidR="005A5E9F" w:rsidRPr="00E95A98" w:rsidRDefault="005A5E9F" w:rsidP="004B6F27">
      <w:pPr>
        <w:pStyle w:val="xfmc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 xml:space="preserve">281 </w:t>
      </w:r>
      <w:r w:rsidR="004B6F27" w:rsidRPr="00E95A98">
        <w:rPr>
          <w:color w:val="000000"/>
          <w:sz w:val="32"/>
          <w:szCs w:val="32"/>
        </w:rPr>
        <w:t>«</w:t>
      </w:r>
      <w:r w:rsidRPr="00E95A98">
        <w:rPr>
          <w:color w:val="000000"/>
          <w:sz w:val="32"/>
          <w:szCs w:val="32"/>
        </w:rPr>
        <w:t>Публічне управління та адміністрування</w:t>
      </w:r>
      <w:r w:rsidR="004B6F27" w:rsidRPr="00E95A98">
        <w:rPr>
          <w:color w:val="000000"/>
          <w:sz w:val="32"/>
          <w:szCs w:val="32"/>
        </w:rPr>
        <w:t>»</w:t>
      </w:r>
      <w:r w:rsidRPr="00E95A98">
        <w:rPr>
          <w:color w:val="000000"/>
          <w:sz w:val="32"/>
          <w:szCs w:val="32"/>
        </w:rPr>
        <w:t>.</w:t>
      </w:r>
    </w:p>
    <w:p w:rsidR="005A5E9F" w:rsidRPr="00E95A98" w:rsidRDefault="005A5E9F" w:rsidP="005A5E9F">
      <w:pPr>
        <w:pStyle w:val="xfm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32"/>
          <w:szCs w:val="32"/>
        </w:rPr>
      </w:pPr>
      <w:r w:rsidRPr="00E95A98">
        <w:rPr>
          <w:color w:val="000000" w:themeColor="text1"/>
          <w:sz w:val="32"/>
          <w:szCs w:val="32"/>
        </w:rPr>
        <w:t>У ТНУ працює 2 Спеціалізованих Вчених ради. У 2019 році були захищені дисертації: 4 доктора наук, 1 доктор філософії.</w:t>
      </w:r>
    </w:p>
    <w:p w:rsidR="005A5E9F" w:rsidRPr="00E95A98" w:rsidRDefault="005A5E9F" w:rsidP="005A5E9F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У 2019  році укладено угоду про створення на базі Університету Центру підтримки технологій та інновацій. Центр входитиме до національної мережі </w:t>
      </w:r>
      <w:proofErr w:type="spellStart"/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TISCs</w:t>
      </w:r>
      <w:proofErr w:type="spellEnd"/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, метою якої є забезпечення доступу користувачів до послуг, що відповідають їх потребам у технологічній інформації. TISC створюється з метою надання користувачам належних та високоякісних послуг щодо підтримки технологій та інновацій.</w:t>
      </w:r>
    </w:p>
    <w:p w:rsidR="005A5E9F" w:rsidRPr="00E95A98" w:rsidRDefault="005A5E9F" w:rsidP="005A5E9F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У 2019 році була </w:t>
      </w:r>
      <w:r w:rsidR="00105EF6"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завершена</w:t>
      </w: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науково-дослідна робота на тему “Гібридна війна Російської </w:t>
      </w:r>
      <w:r w:rsidR="00105EF6"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Ф</w:t>
      </w: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едерації проти пострадянських держав: специфіка кримського варіанту”. На підставі проекту підготовлено низку інформаційно-аналітичних матеріалів, які можуть бути рекомендовані ЗМІ для більш ефективної роботи в умовах гібридної війни. Основним напрямком впровадження результатів наукових досліджень залишається написання магістерських та бакалаврських робіт. Також проводяться ініціативні НДР. </w:t>
      </w:r>
    </w:p>
    <w:p w:rsidR="005A5E9F" w:rsidRPr="00E95A98" w:rsidRDefault="005A5E9F" w:rsidP="005A5E9F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За цей рік 10 наукових праць були опубліковані та прийнятті редакцією до друку у міжнародних виданнях, які мають </w:t>
      </w:r>
      <w:proofErr w:type="spellStart"/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імпакт</w:t>
      </w:r>
      <w:proofErr w:type="spellEnd"/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-</w:t>
      </w: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 xml:space="preserve">фактор. Регулярно видаються збірники матеріалів і тез Міжнародних конференцій та круглих столів, організованих Таврійським університетом. </w:t>
      </w:r>
    </w:p>
    <w:p w:rsidR="005A5E9F" w:rsidRPr="00E95A98" w:rsidRDefault="005A5E9F" w:rsidP="005A5E9F">
      <w:pPr>
        <w:pStyle w:val="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Надзвичайно плідним рік виявився з точки зору укладання парт</w:t>
      </w:r>
      <w:r w:rsidR="00AF2325"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нерських угод з іноземними закладами вищої освіти</w:t>
      </w: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та науково-дослідницькими організаціями. Серед яких варто зазначити партнерів з: Польщі, Туреччини, Словаччини, Ізраїлю, Китаю. В рамках цих договорів розробляються спільні науково-дослідницькі проекти та методики викладання.</w:t>
      </w:r>
    </w:p>
    <w:p w:rsidR="009C330B" w:rsidRPr="00E95A98" w:rsidRDefault="005A5E9F" w:rsidP="00435355">
      <w:pPr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95A98">
        <w:rPr>
          <w:rFonts w:ascii="Times New Roman" w:hAnsi="Times New Roman" w:cs="Times New Roman"/>
          <w:sz w:val="32"/>
          <w:szCs w:val="32"/>
        </w:rPr>
        <w:t>В Університеті успішно працюють видання «Вчених записок Таврійського національного університету імені В. І. Вернадського» за наступними серіями: «Філологія. Соціальні комунікації», «Історичні науки», «Юридичні науки», «Економіка і управління», «Державн</w:t>
      </w:r>
      <w:r w:rsidR="00435355" w:rsidRPr="00E95A98">
        <w:rPr>
          <w:rFonts w:ascii="Times New Roman" w:hAnsi="Times New Roman" w:cs="Times New Roman"/>
          <w:sz w:val="32"/>
          <w:szCs w:val="32"/>
        </w:rPr>
        <w:t>е управління», «Технічні науки».</w:t>
      </w:r>
    </w:p>
    <w:sectPr w:rsidR="009C330B" w:rsidRPr="00E9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4B6"/>
    <w:multiLevelType w:val="hybridMultilevel"/>
    <w:tmpl w:val="2362C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2295F"/>
    <w:multiLevelType w:val="multilevel"/>
    <w:tmpl w:val="94B21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97646C"/>
    <w:multiLevelType w:val="hybridMultilevel"/>
    <w:tmpl w:val="93F0E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D114AB"/>
    <w:multiLevelType w:val="hybridMultilevel"/>
    <w:tmpl w:val="EF5E83EA"/>
    <w:lvl w:ilvl="0" w:tplc="B4A82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CA5668"/>
    <w:multiLevelType w:val="hybridMultilevel"/>
    <w:tmpl w:val="5A1C7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E132C"/>
    <w:multiLevelType w:val="hybridMultilevel"/>
    <w:tmpl w:val="97FAF170"/>
    <w:lvl w:ilvl="0" w:tplc="7A38305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F94"/>
    <w:multiLevelType w:val="hybridMultilevel"/>
    <w:tmpl w:val="051C8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995251"/>
    <w:multiLevelType w:val="hybridMultilevel"/>
    <w:tmpl w:val="4F166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B46CFD"/>
    <w:multiLevelType w:val="hybridMultilevel"/>
    <w:tmpl w:val="D67E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CD5EE7"/>
    <w:multiLevelType w:val="multilevel"/>
    <w:tmpl w:val="9C12F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8E"/>
    <w:rsid w:val="00004AE3"/>
    <w:rsid w:val="00105EF6"/>
    <w:rsid w:val="00125059"/>
    <w:rsid w:val="00150D1D"/>
    <w:rsid w:val="00157732"/>
    <w:rsid w:val="00245E47"/>
    <w:rsid w:val="00253C0B"/>
    <w:rsid w:val="003A1192"/>
    <w:rsid w:val="00435355"/>
    <w:rsid w:val="00497763"/>
    <w:rsid w:val="004B6F27"/>
    <w:rsid w:val="004D428C"/>
    <w:rsid w:val="00560A55"/>
    <w:rsid w:val="00561201"/>
    <w:rsid w:val="00566336"/>
    <w:rsid w:val="005A5E9F"/>
    <w:rsid w:val="00617BE8"/>
    <w:rsid w:val="00695833"/>
    <w:rsid w:val="007E1AB3"/>
    <w:rsid w:val="007E5E8F"/>
    <w:rsid w:val="00864DDA"/>
    <w:rsid w:val="008A4B60"/>
    <w:rsid w:val="008B5E9C"/>
    <w:rsid w:val="008F7E5F"/>
    <w:rsid w:val="00903603"/>
    <w:rsid w:val="00967CFC"/>
    <w:rsid w:val="009802F7"/>
    <w:rsid w:val="009A0BF8"/>
    <w:rsid w:val="009C330B"/>
    <w:rsid w:val="00AB2318"/>
    <w:rsid w:val="00AF094E"/>
    <w:rsid w:val="00AF2325"/>
    <w:rsid w:val="00B64EB5"/>
    <w:rsid w:val="00B92B42"/>
    <w:rsid w:val="00BE1D01"/>
    <w:rsid w:val="00C11814"/>
    <w:rsid w:val="00C56E11"/>
    <w:rsid w:val="00C8192F"/>
    <w:rsid w:val="00D6016B"/>
    <w:rsid w:val="00D67C2D"/>
    <w:rsid w:val="00E13DE3"/>
    <w:rsid w:val="00E27F8E"/>
    <w:rsid w:val="00E56DBB"/>
    <w:rsid w:val="00E95A98"/>
    <w:rsid w:val="00ED3A63"/>
    <w:rsid w:val="00EF6CF5"/>
    <w:rsid w:val="00F43B44"/>
    <w:rsid w:val="00F66039"/>
    <w:rsid w:val="00F7768C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3DCB7-D860-4441-A7DB-FA12E9C5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9C330B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330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9C3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C33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horttext">
    <w:name w:val="short_text"/>
    <w:rsid w:val="009C330B"/>
  </w:style>
  <w:style w:type="paragraph" w:customStyle="1" w:styleId="1">
    <w:name w:val="Обычный1"/>
    <w:rsid w:val="005A5E9F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xfmc1">
    <w:name w:val="xfmc1"/>
    <w:basedOn w:val="a"/>
    <w:rsid w:val="005A5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3">
    <w:name w:val="List Paragraph"/>
    <w:basedOn w:val="a"/>
    <w:uiPriority w:val="34"/>
    <w:qFormat/>
    <w:rsid w:val="00125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A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A98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zj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ТНУ ім. В.І.Вернадського</dc:creator>
  <cp:keywords/>
  <dc:description/>
  <cp:lastModifiedBy>ТНУ ім. В.І.Вернадського</cp:lastModifiedBy>
  <cp:revision>4</cp:revision>
  <cp:lastPrinted>2020-02-25T09:03:00Z</cp:lastPrinted>
  <dcterms:created xsi:type="dcterms:W3CDTF">2020-02-07T10:06:00Z</dcterms:created>
  <dcterms:modified xsi:type="dcterms:W3CDTF">2020-04-01T09:21:00Z</dcterms:modified>
</cp:coreProperties>
</file>