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1"/>
        <w:jc w:val="center"/>
        <w:rPr>
          <w:b w:val="1"/>
          <w:color w:val="000000"/>
          <w:sz w:val="34"/>
          <w:szCs w:val="34"/>
        </w:rPr>
      </w:pPr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Міністерство освіти і науки України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2"/>
        <w:jc w:val="center"/>
        <w:rPr>
          <w:b w:val="1"/>
          <w:color w:val="000000"/>
          <w:sz w:val="34"/>
          <w:szCs w:val="34"/>
        </w:rPr>
      </w:pPr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Таврійський національний університет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2"/>
        <w:jc w:val="center"/>
        <w:rPr>
          <w:b w:val="1"/>
          <w:color w:val="000000"/>
          <w:sz w:val="34"/>
          <w:szCs w:val="34"/>
        </w:rPr>
      </w:pPr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імені В. І. Вернадського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522"/>
        <w:jc w:val="center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1"/>
        <w:jc w:val="center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2560320</wp:posOffset>
            </wp:positionH>
            <wp:positionV relativeFrom="paragraph">
              <wp:posOffset>349250</wp:posOffset>
            </wp:positionV>
            <wp:extent cx="1325245" cy="124333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243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522"/>
        <w:jc w:val="center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522"/>
        <w:jc w:val="center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522"/>
        <w:jc w:val="center"/>
        <w:rPr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1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116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116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ПОЛОЖЕННЯ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116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про Раду якості освіти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116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Таврійського національного університету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116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імені В. І. Вернадського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b w:val="1"/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32" w:lineRule="auto"/>
        <w:ind w:left="578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rtl w:val="0"/>
        </w:rPr>
        <w:t xml:space="preserve">ИЇВ </w:t>
      </w:r>
      <w:r w:rsidDel="00000000" w:rsidR="00000000" w:rsidRPr="00000000">
        <w:rPr>
          <w:sz w:val="28"/>
          <w:szCs w:val="28"/>
          <w:rtl w:val="0"/>
        </w:rPr>
        <w:t xml:space="preserve">2020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32" w:lineRule="auto"/>
        <w:ind w:left="578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Укладачі: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3" w:firstLine="709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Опанасенко О.А. – 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заступник</w:t>
      </w: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директора навчально-наукового центру організації освітнього та виховного процесу з навчально-методичної роботи.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3" w:firstLine="709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Радомський І.П.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– 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директор навчально-наукового центру організації освітнього та виховного процесу, кандидат педагогічних наук, доцент.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3" w:firstLine="709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Стеценко Г.В.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– методист вищої категорії навчально-наукового центру організації освітнього та виховного процесу.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0" w:firstLine="70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" w:right="23" w:hanging="23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Схвалено рішенням Навчально-методичної ради ТНУ від 09 вересня 2020 р.  Протокол № 01.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3" w:right="23" w:hanging="23"/>
        <w:jc w:val="both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6" w:right="23" w:hanging="23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Затверджено рішенням Вченої ради ТНУ від 29 вересня 2020 р. протокол № 01.</w:t>
      </w:r>
    </w:p>
    <w:p w:rsidR="00000000" w:rsidDel="00000000" w:rsidP="00000000" w:rsidRDefault="00000000" w:rsidRPr="00000000" w14:paraId="0000002C">
      <w:pPr>
        <w:spacing w:line="520" w:lineRule="auto"/>
        <w:ind w:left="40" w:right="20" w:hanging="20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Зі змінами та доповненнями протокол № __ від __ ______ 20__ р.</w:t>
      </w:r>
    </w:p>
    <w:p w:rsidR="00000000" w:rsidDel="00000000" w:rsidP="00000000" w:rsidRDefault="00000000" w:rsidRPr="00000000" w14:paraId="0000002D">
      <w:pPr>
        <w:spacing w:line="520" w:lineRule="auto"/>
        <w:ind w:left="40" w:right="20" w:hanging="2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520" w:lineRule="auto"/>
        <w:ind w:left="40" w:right="20" w:hanging="2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Уведено в дію наказом ректора ТНУ від 30 вересня 2020 р. № 151-ОД.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3" w:right="23" w:firstLine="697"/>
        <w:jc w:val="both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2" w:lineRule="auto"/>
        <w:ind w:left="20" w:right="20" w:firstLine="70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Положення про Раду якості освіти Таврійського національного університету імені</w:t>
      </w:r>
    </w:p>
    <w:p w:rsidR="00000000" w:rsidDel="00000000" w:rsidP="00000000" w:rsidRDefault="00000000" w:rsidRPr="00000000" w14:paraId="0000003F">
      <w:pPr>
        <w:ind w:left="5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В.І. Вернадського / [Укл.: Опанасенко О.А., Радомський І.П., Стеценко Г.В.] - К.: ТНУ, 2020.  8 с.</w:t>
      </w:r>
    </w:p>
    <w:p w:rsidR="00000000" w:rsidDel="00000000" w:rsidP="00000000" w:rsidRDefault="00000000" w:rsidRPr="00000000" w14:paraId="00000040">
      <w:pPr>
        <w:spacing w:before="232" w:lineRule="auto"/>
        <w:ind w:left="578" w:firstLine="0"/>
        <w:rPr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10" w:orient="portrait"/>
          <w:pgMar w:bottom="280" w:top="1040" w:left="1160" w:right="7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812"/>
        </w:tabs>
        <w:spacing w:before="100" w:lineRule="auto"/>
        <w:ind w:left="720" w:hanging="36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ЗАГАЛЬНІ ПОЛОЖЕННЯ</w:t>
      </w:r>
    </w:p>
    <w:p w:rsidR="00000000" w:rsidDel="00000000" w:rsidP="00000000" w:rsidRDefault="00000000" w:rsidRPr="00000000" w14:paraId="00000042">
      <w:pPr>
        <w:tabs>
          <w:tab w:val="left" w:pos="1180"/>
        </w:tabs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1.1. Рада якості освіти Таврійського національного університету імені В. І. Вернадського (далі – Рада) є дорадчим органом, який створено для сприяння досягненню стратегічних цілей Університету щодо формування внутрішньої системи забезпечення якості освіти, реалізації та впровадження освітніх інновацій, здійснення моніторингу, аналізу, планування та координації освітнього процесу в Університеті та розробки рекомендацій щодо його вдосконалення з метою досягнення високого рівня якості освіти та набуття учасниками освітньої діяльності вагомих конкурентних переваг.</w:t>
      </w:r>
    </w:p>
    <w:p w:rsidR="00000000" w:rsidDel="00000000" w:rsidP="00000000" w:rsidRDefault="00000000" w:rsidRPr="00000000" w14:paraId="00000044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1.2. Рада у своїй практичній діяльності керується Законами України, Постановами Кабінету Міністрів України, наказами та інструктивними листами МОН, Статутом університету, Колективним договором, наказами та розпорядженнями по Університету.</w:t>
      </w:r>
    </w:p>
    <w:p w:rsidR="00000000" w:rsidDel="00000000" w:rsidP="00000000" w:rsidRDefault="00000000" w:rsidRPr="00000000" w14:paraId="00000045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1.3. Рада створюється наказом ректора Університету у складі Голови, заступника, секретаря та членів ради. </w:t>
      </w:r>
    </w:p>
    <w:p w:rsidR="00000000" w:rsidDel="00000000" w:rsidP="00000000" w:rsidRDefault="00000000" w:rsidRPr="00000000" w14:paraId="00000046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Членами ради є: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проректор з науково-педагогічної діяльності та інноваційного розвитку;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представники навчальних підрозділів ( навчально-наукові інститути, загальновузівські кафедри) – по одному представнику за поданням керівника навчального підрозділу;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представники здобувачів вищої освіти – за поданням керівника органу студентського самоврядування;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експерти із забезпечення якості освіти (від структурних підрозділів, що беруть участь у забезпеченні освітнього процесу в Університеті) - по одному представник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за поданням керівника структурного підрозділу;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представники від роботодавців – за згодою.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1.4. Головою Ради якості освіти за посадою є перший проректор Університету.</w:t>
      </w:r>
    </w:p>
    <w:p w:rsidR="00000000" w:rsidDel="00000000" w:rsidP="00000000" w:rsidRDefault="00000000" w:rsidRPr="00000000" w14:paraId="0000004D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1.5. Обов’язки заступника Голови Ради якості освіти (далі – Ради) виконує за посадою директор навчально-наукового центру організації освітнього та виховного процесу.</w:t>
      </w:r>
    </w:p>
    <w:p w:rsidR="00000000" w:rsidDel="00000000" w:rsidP="00000000" w:rsidRDefault="00000000" w:rsidRPr="00000000" w14:paraId="0000004E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1.6. Персональний склад Ради оновлюється на початку кожного навчального року, затверджується наказом ректора Університету.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1.7. Рада створюється або ліквідується наказом ректора за рішенням Вченої ради Університету.</w:t>
      </w:r>
    </w:p>
    <w:p w:rsidR="00000000" w:rsidDel="00000000" w:rsidP="00000000" w:rsidRDefault="00000000" w:rsidRPr="00000000" w14:paraId="00000050">
      <w:pPr>
        <w:tabs>
          <w:tab w:val="left" w:pos="118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1.8. За потреби в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навчальних підрозділах Університету можуть створюватись Ради якості освіти навчально-наукових інститутів, загальновузівських кафедр.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23"/>
        </w:tabs>
        <w:spacing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 ОСНОВНІ ФУНКЦІЇ ТА ПОВНОВАЖЕННЯ РАДИ ЯКОСТІ ОСВІТИ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23"/>
        </w:tabs>
        <w:spacing w:line="276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60"/>
        </w:tabs>
        <w:spacing w:line="276" w:lineRule="auto"/>
        <w:ind w:left="851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 Функції Ради:</w:t>
      </w:r>
    </w:p>
    <w:p w:rsidR="00000000" w:rsidDel="00000000" w:rsidP="00000000" w:rsidRDefault="00000000" w:rsidRPr="00000000" w14:paraId="00000054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 реалізація політики Університету у сфері забезпечення якості освітньої діяльності та якості вищої освіти;</w:t>
      </w:r>
    </w:p>
    <w:p w:rsidR="00000000" w:rsidDel="00000000" w:rsidP="00000000" w:rsidRDefault="00000000" w:rsidRPr="00000000" w14:paraId="00000055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затвердження заходів з моніторингу якості освітнього процесу та якості вищої освіти на навчальний рік;</w:t>
      </w:r>
    </w:p>
    <w:p w:rsidR="00000000" w:rsidDel="00000000" w:rsidP="00000000" w:rsidRDefault="00000000" w:rsidRPr="00000000" w14:paraId="00000056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координація освітнього процесу в навчальних підрозділах Університету;</w:t>
      </w:r>
    </w:p>
    <w:p w:rsidR="00000000" w:rsidDel="00000000" w:rsidP="00000000" w:rsidRDefault="00000000" w:rsidRPr="00000000" w14:paraId="00000057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обговорення проєктів нормативних документів, що регламентують організацію та зміст освітнього процесу в Університеті, підготовка рекомендацій щодо їх удосконалення та винесення їх на розгляд Вченої ради Університету;</w:t>
      </w:r>
    </w:p>
    <w:p w:rsidR="00000000" w:rsidDel="00000000" w:rsidP="00000000" w:rsidRDefault="00000000" w:rsidRPr="00000000" w14:paraId="00000058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надання роз’яснень та консультацій щодо застосування нормативних документів Університету з питань організації освітнього процесу;</w:t>
      </w:r>
    </w:p>
    <w:p w:rsidR="00000000" w:rsidDel="00000000" w:rsidP="00000000" w:rsidRDefault="00000000" w:rsidRPr="00000000" w14:paraId="00000059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аналіз результатів моніторингу якості освітньої діяльності Університету та розроблення рекомендацій щодо його концептуального розвитку та процедурного вдосконалення;</w:t>
      </w:r>
    </w:p>
    <w:p w:rsidR="00000000" w:rsidDel="00000000" w:rsidP="00000000" w:rsidRDefault="00000000" w:rsidRPr="00000000" w14:paraId="0000005A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узагальнення передового досвіду організації освітнього процесу в Університеті та досвіду інших закладів освіти, розроблення рекомендацій щодо його поширення й імплементації в освітній процес Університету;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60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формування пропозицій щодо вдосконалення системи внутрішнього забезпечення якості освіти в Університеті;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розгляд та схвалення проєктів освітніх програм, змін до них, навчальних планів та закріплення навчальних дисциплін за кафедрами для винесення для затвердження Вченою радою Університету;</w:t>
      </w:r>
    </w:p>
    <w:p w:rsidR="00000000" w:rsidDel="00000000" w:rsidP="00000000" w:rsidRDefault="00000000" w:rsidRPr="00000000" w14:paraId="0000005D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уніфікації вимог до форми і змісту навчальних планів і робочих навчальних програм; забезпечення узгодженості навчальних планів і робочих навчальних програм у межах Університету; </w:t>
      </w:r>
    </w:p>
    <w:p w:rsidR="00000000" w:rsidDel="00000000" w:rsidP="00000000" w:rsidRDefault="00000000" w:rsidRPr="00000000" w14:paraId="0000005E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розроблення рекомендацій щодо вдосконалення навчально-методичного забезпечення дисциплін;</w:t>
      </w:r>
    </w:p>
    <w:p w:rsidR="00000000" w:rsidDel="00000000" w:rsidP="00000000" w:rsidRDefault="00000000" w:rsidRPr="00000000" w14:paraId="0000005F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рекомендація до видання навчальної та методичної літератури;</w:t>
      </w:r>
    </w:p>
    <w:p w:rsidR="00000000" w:rsidDel="00000000" w:rsidP="00000000" w:rsidRDefault="00000000" w:rsidRPr="00000000" w14:paraId="00000060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розроблення напрямків вдосконалення педагогічної майстерності викладачів;</w:t>
      </w:r>
    </w:p>
    <w:p w:rsidR="00000000" w:rsidDel="00000000" w:rsidP="00000000" w:rsidRDefault="00000000" w:rsidRPr="00000000" w14:paraId="00000061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схвалення програм курсів підвищення кваліфікації науково-педагогічних працівників;</w:t>
      </w:r>
    </w:p>
    <w:p w:rsidR="00000000" w:rsidDel="00000000" w:rsidP="00000000" w:rsidRDefault="00000000" w:rsidRPr="00000000" w14:paraId="00000062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2.2. Голова Ради здійснює такі функції: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організовує роботу Ради та головує на її засіданнях;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9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вносить пропозиції на засідання Ради щодо розподілу обов'язків між членами Ради;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погоджує порядок денний засідань Ради;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запрошує в разі необхідності фахівців для участі в роботі Ради;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дає доручення з організаційних питань заступнику Голови Ради, секретарю Ради, експертам;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здійснює інші повноваження, передбачені цим Положенням.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 відсутності голови Ради його повноваження здійснює заступник Голови Ради.</w:t>
      </w:r>
    </w:p>
    <w:p w:rsidR="00000000" w:rsidDel="00000000" w:rsidP="00000000" w:rsidRDefault="00000000" w:rsidRPr="00000000" w14:paraId="0000006A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2.3. Члени Ради мають право:</w:t>
      </w:r>
    </w:p>
    <w:p w:rsidR="00000000" w:rsidDel="00000000" w:rsidP="00000000" w:rsidRDefault="00000000" w:rsidRPr="00000000" w14:paraId="0000006B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брати участь у роботі Ради, в обговоренні питань, ухваленні та виконанні рішень Ради Університету;</w:t>
      </w:r>
    </w:p>
    <w:p w:rsidR="00000000" w:rsidDel="00000000" w:rsidP="00000000" w:rsidRDefault="00000000" w:rsidRPr="00000000" w14:paraId="0000006C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вносити пропозиції щодо формування порядку денного засідань Ради;</w:t>
      </w:r>
    </w:p>
    <w:p w:rsidR="00000000" w:rsidDel="00000000" w:rsidP="00000000" w:rsidRDefault="00000000" w:rsidRPr="00000000" w14:paraId="0000006D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виконувати доручення Голови Ради щодо підготовки засідань і рішень Ради;</w:t>
      </w:r>
    </w:p>
    <w:p w:rsidR="00000000" w:rsidDel="00000000" w:rsidP="00000000" w:rsidRDefault="00000000" w:rsidRPr="00000000" w14:paraId="0000006E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виконувати рішення, ухвалені на засіданні Ради Університету; </w:t>
      </w:r>
    </w:p>
    <w:p w:rsidR="00000000" w:rsidDel="00000000" w:rsidP="00000000" w:rsidRDefault="00000000" w:rsidRPr="00000000" w14:paraId="0000006F">
      <w:pPr>
        <w:tabs>
          <w:tab w:val="left" w:pos="15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сприяти підвищенню рівня якості освітньої діяльності Університету.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179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Секретар Ради здійснює такі функції: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формує про</w:t>
      </w:r>
      <w:r w:rsidDel="00000000" w:rsidR="00000000" w:rsidRPr="00000000">
        <w:rPr>
          <w:sz w:val="28"/>
          <w:szCs w:val="28"/>
          <w:rtl w:val="0"/>
        </w:rPr>
        <w:t xml:space="preserve">є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кт порядку денного та подає його на розгляд Голові Ради;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завчасно інформує членів Ради про місце, час проведення засідання Ради та про порядок денний, а також своєчасно (за 5 робочих днів) забезпечує надання членам Ради відповідних матеріалів засідання;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проводить організаційну роботу з підготовки проведення засідань Ради;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веде протокол засідання Ради, доводить рішення Ради і протокольні доручення до структурних підрозділів Університету;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забезпечує протокольне оформлення підсумків засідань Ради, доопрацювання про</w:t>
      </w:r>
      <w:r w:rsidDel="00000000" w:rsidR="00000000" w:rsidRPr="00000000">
        <w:rPr>
          <w:sz w:val="28"/>
          <w:szCs w:val="28"/>
          <w:rtl w:val="0"/>
        </w:rPr>
        <w:t xml:space="preserve">є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ктів рішень з урахуванням зауважень і пропозицій, висловлених під час засідання;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 дорученням Голови Ради виконує інші (доручення) завдання, що стосуються забезпечення роботи Ради.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07"/>
        </w:tabs>
        <w:spacing w:line="276" w:lineRule="auto"/>
        <w:ind w:left="36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 ОРГАНІЗАЦІЯ РОБОТИ РАДИ ЯКОСТІ ОСВІТИ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1169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3.1. Організаційними формами роботи Ради є відкриті засідання: 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робоче (за участю представників навчальних підрозділів, здобувачів вищої освіти та роботодавців), що проводиться щомісяця та частіше (за потребою)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розширене (додатково до участі залучаються експерти із забезпечення якості освіти), що проводиться за рішенням Голови Ради.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1169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3.2. Робота Ради може здійснюватися у формі:</w:t>
      </w:r>
    </w:p>
    <w:p w:rsidR="00000000" w:rsidDel="00000000" w:rsidP="00000000" w:rsidRDefault="00000000" w:rsidRPr="00000000" w14:paraId="00000086">
      <w:pPr>
        <w:tabs>
          <w:tab w:val="left" w:pos="1085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засідань Ради (“круглих столів”, конференцій та/або інших заходів за участі членів ради);</w:t>
      </w:r>
    </w:p>
    <w:p w:rsidR="00000000" w:rsidDel="00000000" w:rsidP="00000000" w:rsidRDefault="00000000" w:rsidRPr="00000000" w14:paraId="00000087">
      <w:pPr>
        <w:tabs>
          <w:tab w:val="left" w:pos="1085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 режимі використання інформаційно-комунікаційних технологій.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3.3. Засідання Ради проводить її Голова, а в разі його відсутності – заступник Голови. Засідання вважається правомочним, якщо на ньому присутні більше половини від її повного складу.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Секретар Ради проводить реєстрацію присутніх членів Ради перед кожним засіданням ради під розпис.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Присутність на засіданні Ради є обов’язковою для всіх членів </w:t>
      </w:r>
      <w:r w:rsidDel="00000000" w:rsidR="00000000" w:rsidRPr="00000000">
        <w:rPr>
          <w:sz w:val="28"/>
          <w:szCs w:val="28"/>
          <w:rtl w:val="0"/>
        </w:rPr>
        <w:t xml:space="preserve">Р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ади, за винятком поважних причин (відпустка, хвороба, відрядження тощо).</w:t>
      </w:r>
    </w:p>
    <w:p w:rsidR="00000000" w:rsidDel="00000000" w:rsidP="00000000" w:rsidRDefault="00000000" w:rsidRPr="00000000" w14:paraId="0000008B">
      <w:pPr>
        <w:tabs>
          <w:tab w:val="left" w:pos="1360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3.4. Рішення Ради з усіх обговорених питань ухвалюються відкритим голосуванням більшістю голосів та фіксуються в протоколі, який веде секретар.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Кожен член Ради має один голос. У разі рівного розподілу голосів голос головуючого на засіданні прирівнюється до двох голосів.</w:t>
      </w:r>
    </w:p>
    <w:p w:rsidR="00000000" w:rsidDel="00000000" w:rsidP="00000000" w:rsidRDefault="00000000" w:rsidRPr="00000000" w14:paraId="0000008D">
      <w:pPr>
        <w:tabs>
          <w:tab w:val="left" w:pos="1382"/>
        </w:tabs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3.5. Засідання Ради може відвідати будь-який співробітник Університету, а також запрошені Головою Ради працівники інших організацій та установ.</w:t>
      </w:r>
    </w:p>
    <w:p w:rsidR="00000000" w:rsidDel="00000000" w:rsidP="00000000" w:rsidRDefault="00000000" w:rsidRPr="00000000" w14:paraId="0000008E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Усі присутні на засіданні Ради мають право висловлювати свою позицію з обговорюваних питань.</w:t>
      </w:r>
    </w:p>
    <w:p w:rsidR="00000000" w:rsidDel="00000000" w:rsidP="00000000" w:rsidRDefault="00000000" w:rsidRPr="00000000" w14:paraId="0000008F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3.6. Матеріали засідань Ради оприлюднюються на інтернет-сторінці Ради на офіційному сайті Університету, або доводяться до членів Ради в інший спосіб. Організаційне забезпечення роботи Ради покладається на навчально-науковий центр організації освітнього та виховного процесу.</w:t>
      </w:r>
    </w:p>
    <w:p w:rsidR="00000000" w:rsidDel="00000000" w:rsidP="00000000" w:rsidRDefault="00000000" w:rsidRPr="00000000" w14:paraId="00000090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3.7. Для своєчасного включення питань до порядку денного чергового засідання Ради підрозділи зобов’язані не пізніше ніж за 5 робочих днів до початку засідання подати секретарю Ради подання.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2059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ЕКСПЕРТИ РАДИ ЯКОСТІ ОСВІТИ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85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4.1. З експертів Ради можуть формуватися робочі групи для здійснення підготовки і попереднього розгляду питань, віднесених до повноважень Ради, виконання інших функцій.</w:t>
      </w:r>
    </w:p>
    <w:p w:rsidR="00000000" w:rsidDel="00000000" w:rsidP="00000000" w:rsidRDefault="00000000" w:rsidRPr="00000000" w14:paraId="0000009A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 Діяльність експертів Ради координує Голова Ради.</w:t>
      </w:r>
    </w:p>
    <w:p w:rsidR="00000000" w:rsidDel="00000000" w:rsidP="00000000" w:rsidRDefault="00000000" w:rsidRPr="00000000" w14:paraId="0000009B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4.3. Експерти Ради при здійсненні повноважень взаємодіють з ректоратом, інститутами, кафедрами, іншими структурними підрозділами Університету та органами студентського самоврядування, які зобов'язані сприяти групам експертів Ради у здійсненні покладених на них повноважень, реагувати на їх звернення та рекомендації.</w:t>
      </w:r>
    </w:p>
    <w:p w:rsidR="00000000" w:rsidDel="00000000" w:rsidP="00000000" w:rsidRDefault="00000000" w:rsidRPr="00000000" w14:paraId="0000009C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4.4. Члени Ради можуть бути одночасно членами різних груп експертів Ради. До складу групи експертів можуть залучатися інші фахівці Університету, які не є членами Ради.</w:t>
      </w:r>
    </w:p>
    <w:p w:rsidR="00000000" w:rsidDel="00000000" w:rsidP="00000000" w:rsidRDefault="00000000" w:rsidRPr="00000000" w14:paraId="0000009D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4.5. Група експертів припиняє роботу в разі повного виконання покладених на неї завдань за рішенням Ради.</w:t>
      </w:r>
    </w:p>
    <w:p w:rsidR="00000000" w:rsidDel="00000000" w:rsidP="00000000" w:rsidRDefault="00000000" w:rsidRPr="00000000" w14:paraId="0000009E">
      <w:pPr>
        <w:spacing w:line="276" w:lineRule="auto"/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4.6. Групи експертів:</w:t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здійснюють планування своєї роботи;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7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проводять збір та аналіз інформації з питань, що належать до повноважень груп експертів, організовують зустрічі з цих питань, у тому числі на засіданнях Ради;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здійснюють попередній розгляд та підготовку висновків і пропозицій щодо про</w:t>
      </w:r>
      <w:r w:rsidDel="00000000" w:rsidR="00000000" w:rsidRPr="00000000">
        <w:rPr>
          <w:sz w:val="28"/>
          <w:szCs w:val="28"/>
          <w:rtl w:val="0"/>
        </w:rPr>
        <w:t xml:space="preserve">є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ктів нормативних документів Університету, які внесені на розгляд Ради;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98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надають висновки з питань, що передані їм на розгляд Радою (або Головою Ради) або що належать до їх компетенцій;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розглядають звернення, що надійшли до групи експертів;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0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звітують про підсумки своєї діяльності Раді;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81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розробляють про</w:t>
      </w:r>
      <w:r w:rsidDel="00000000" w:rsidR="00000000" w:rsidRPr="00000000">
        <w:rPr>
          <w:sz w:val="28"/>
          <w:szCs w:val="28"/>
          <w:rtl w:val="0"/>
        </w:rPr>
        <w:t xml:space="preserve">є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кти програм, рекомендацій, роз’яснень, рішень Ради, положень та інших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ніверситету з питань, що належать до предмета їх відання;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2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здійснюють попередній розгляд та підготовку висновків і пропозицій щодо про</w:t>
      </w:r>
      <w:r w:rsidDel="00000000" w:rsidR="00000000" w:rsidRPr="00000000">
        <w:rPr>
          <w:sz w:val="28"/>
          <w:szCs w:val="28"/>
          <w:rtl w:val="0"/>
        </w:rPr>
        <w:t xml:space="preserve">є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ктів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ніверситету, які внесені на розгляд Ради;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2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здійснюють доопрацювання за дорученням Ради окремих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ніверситету;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43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узагальнюють зауваження і пропозиції, що надійшли до розроблених про</w:t>
      </w:r>
      <w:r w:rsidDel="00000000" w:rsidR="00000000" w:rsidRPr="00000000">
        <w:rPr>
          <w:sz w:val="28"/>
          <w:szCs w:val="28"/>
          <w:rtl w:val="0"/>
        </w:rPr>
        <w:t xml:space="preserve">є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ктів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ніверситету;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2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вносять пропозиції й поправки до про</w:t>
      </w:r>
      <w:r w:rsidDel="00000000" w:rsidR="00000000" w:rsidRPr="00000000">
        <w:rPr>
          <w:sz w:val="28"/>
          <w:szCs w:val="28"/>
          <w:rtl w:val="0"/>
        </w:rPr>
        <w:t xml:space="preserve">є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ктів нормативних документів 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ніверситету з питань, які є компетенціями групи експертів та які внесені на розгляд Ради ректоратом, Вченою радою Університету тощо;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2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залучають до роботи в групу експертів представників органів студентського самоврядування;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74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отримують від структурних підрозділів Університету необхідні матеріали й документи для забезпечення діяльності групи експертів Ради відповідно їх компетенцій;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7"/>
        </w:tabs>
        <w:spacing w:line="276" w:lineRule="auto"/>
        <w:ind w:left="0" w:firstLine="851"/>
        <w:jc w:val="both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звертаються з питань, що в їх компетенціях, до ректорату, Голови Ради та органів студентського самоврядування.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6" w:firstLine="85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6" w:firstLine="85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6" w:firstLine="85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3" w:type="default"/>
      <w:type w:val="nextPage"/>
      <w:pgSz w:h="16840" w:w="11910" w:orient="portrait"/>
      <w:pgMar w:bottom="980" w:top="993" w:left="1160" w:right="740" w:header="0" w:footer="74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jc w:val="right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635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571" w:hanging="720"/>
      </w:pPr>
      <w:rPr/>
    </w:lvl>
    <w:lvl w:ilvl="2">
      <w:start w:val="1"/>
      <w:numFmt w:val="decimal"/>
      <w:lvlText w:val="%1.%2.%3."/>
      <w:lvlJc w:val="left"/>
      <w:pPr>
        <w:ind w:left="2062" w:hanging="720"/>
      </w:pPr>
      <w:rPr/>
    </w:lvl>
    <w:lvl w:ilvl="3">
      <w:start w:val="1"/>
      <w:numFmt w:val="decimal"/>
      <w:lvlText w:val="%1.%2.%3.%4."/>
      <w:lvlJc w:val="left"/>
      <w:pPr>
        <w:ind w:left="2913" w:hanging="1080"/>
      </w:pPr>
      <w:rPr/>
    </w:lvl>
    <w:lvl w:ilvl="4">
      <w:start w:val="1"/>
      <w:numFmt w:val="decimal"/>
      <w:lvlText w:val="%1.%2.%3.%4.%5."/>
      <w:lvlJc w:val="left"/>
      <w:pPr>
        <w:ind w:left="3404" w:hanging="1080"/>
      </w:pPr>
      <w:rPr/>
    </w:lvl>
    <w:lvl w:ilvl="5">
      <w:start w:val="1"/>
      <w:numFmt w:val="decimal"/>
      <w:lvlText w:val="%1.%2.%3.%4.%5.%6."/>
      <w:lvlJc w:val="left"/>
      <w:pPr>
        <w:ind w:left="4255" w:hanging="1440"/>
      </w:pPr>
      <w:rPr/>
    </w:lvl>
    <w:lvl w:ilvl="6">
      <w:start w:val="1"/>
      <w:numFmt w:val="decimal"/>
      <w:lvlText w:val="%1.%2.%3.%4.%5.%6.%7."/>
      <w:lvlJc w:val="left"/>
      <w:pPr>
        <w:ind w:left="5106" w:hanging="1800"/>
      </w:pPr>
      <w:rPr/>
    </w:lvl>
    <w:lvl w:ilvl="7">
      <w:start w:val="1"/>
      <w:numFmt w:val="decimal"/>
      <w:lvlText w:val="%1.%2.%3.%4.%5.%6.%7.%8."/>
      <w:lvlJc w:val="left"/>
      <w:pPr>
        <w:ind w:left="5597" w:hanging="1798.999999999999"/>
      </w:pPr>
      <w:rPr/>
    </w:lvl>
    <w:lvl w:ilvl="8">
      <w:start w:val="1"/>
      <w:numFmt w:val="decimal"/>
      <w:lvlText w:val="%1.%2.%3.%4.%5.%6.%7.%8.%9."/>
      <w:lvlJc w:val="left"/>
      <w:pPr>
        <w:ind w:left="6448" w:hanging="21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164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36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8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0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2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4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6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8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0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16" w:hanging="164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08" w:hanging="164"/>
      </w:pPr>
      <w:rPr/>
    </w:lvl>
    <w:lvl w:ilvl="2">
      <w:start w:val="1"/>
      <w:numFmt w:val="bullet"/>
      <w:lvlText w:val="•"/>
      <w:lvlJc w:val="left"/>
      <w:pPr>
        <w:ind w:left="2097" w:hanging="164.00000000000023"/>
      </w:pPr>
      <w:rPr/>
    </w:lvl>
    <w:lvl w:ilvl="3">
      <w:start w:val="1"/>
      <w:numFmt w:val="bullet"/>
      <w:lvlText w:val="•"/>
      <w:lvlJc w:val="left"/>
      <w:pPr>
        <w:ind w:left="3085" w:hanging="164"/>
      </w:pPr>
      <w:rPr/>
    </w:lvl>
    <w:lvl w:ilvl="4">
      <w:start w:val="1"/>
      <w:numFmt w:val="bullet"/>
      <w:lvlText w:val="•"/>
      <w:lvlJc w:val="left"/>
      <w:pPr>
        <w:ind w:left="4074" w:hanging="164"/>
      </w:pPr>
      <w:rPr/>
    </w:lvl>
    <w:lvl w:ilvl="5">
      <w:start w:val="1"/>
      <w:numFmt w:val="bullet"/>
      <w:lvlText w:val="•"/>
      <w:lvlJc w:val="left"/>
      <w:pPr>
        <w:ind w:left="5063" w:hanging="164"/>
      </w:pPr>
      <w:rPr/>
    </w:lvl>
    <w:lvl w:ilvl="6">
      <w:start w:val="1"/>
      <w:numFmt w:val="bullet"/>
      <w:lvlText w:val="•"/>
      <w:lvlJc w:val="left"/>
      <w:pPr>
        <w:ind w:left="6051" w:hanging="164"/>
      </w:pPr>
      <w:rPr/>
    </w:lvl>
    <w:lvl w:ilvl="7">
      <w:start w:val="1"/>
      <w:numFmt w:val="bullet"/>
      <w:lvlText w:val="•"/>
      <w:lvlJc w:val="left"/>
      <w:pPr>
        <w:ind w:left="7040" w:hanging="164"/>
      </w:pPr>
      <w:rPr/>
    </w:lvl>
    <w:lvl w:ilvl="8">
      <w:start w:val="1"/>
      <w:numFmt w:val="bullet"/>
      <w:lvlText w:val="•"/>
      <w:lvlJc w:val="left"/>
      <w:pPr>
        <w:ind w:left="8029" w:hanging="164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687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24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4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16" w:hanging="20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08" w:hanging="200"/>
      </w:pPr>
      <w:rPr/>
    </w:lvl>
    <w:lvl w:ilvl="2">
      <w:start w:val="1"/>
      <w:numFmt w:val="bullet"/>
      <w:lvlText w:val="•"/>
      <w:lvlJc w:val="left"/>
      <w:pPr>
        <w:ind w:left="2097" w:hanging="200"/>
      </w:pPr>
      <w:rPr/>
    </w:lvl>
    <w:lvl w:ilvl="3">
      <w:start w:val="1"/>
      <w:numFmt w:val="bullet"/>
      <w:lvlText w:val="•"/>
      <w:lvlJc w:val="left"/>
      <w:pPr>
        <w:ind w:left="3085" w:hanging="200"/>
      </w:pPr>
      <w:rPr/>
    </w:lvl>
    <w:lvl w:ilvl="4">
      <w:start w:val="1"/>
      <w:numFmt w:val="bullet"/>
      <w:lvlText w:val="•"/>
      <w:lvlJc w:val="left"/>
      <w:pPr>
        <w:ind w:left="4074" w:hanging="200"/>
      </w:pPr>
      <w:rPr/>
    </w:lvl>
    <w:lvl w:ilvl="5">
      <w:start w:val="1"/>
      <w:numFmt w:val="bullet"/>
      <w:lvlText w:val="•"/>
      <w:lvlJc w:val="left"/>
      <w:pPr>
        <w:ind w:left="5063" w:hanging="200"/>
      </w:pPr>
      <w:rPr/>
    </w:lvl>
    <w:lvl w:ilvl="6">
      <w:start w:val="1"/>
      <w:numFmt w:val="bullet"/>
      <w:lvlText w:val="•"/>
      <w:lvlJc w:val="left"/>
      <w:pPr>
        <w:ind w:left="6051" w:hanging="200"/>
      </w:pPr>
      <w:rPr/>
    </w:lvl>
    <w:lvl w:ilvl="7">
      <w:start w:val="1"/>
      <w:numFmt w:val="bullet"/>
      <w:lvlText w:val="•"/>
      <w:lvlJc w:val="left"/>
      <w:pPr>
        <w:ind w:left="7040" w:hanging="200"/>
      </w:pPr>
      <w:rPr/>
    </w:lvl>
    <w:lvl w:ilvl="8">
      <w:start w:val="1"/>
      <w:numFmt w:val="bullet"/>
      <w:lvlText w:val="•"/>
      <w:lvlJc w:val="left"/>
      <w:pPr>
        <w:ind w:left="8029" w:hanging="2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ind w:left="577"/>
      <w:jc w:val="center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footer" Target="footer4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