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7C" w:rsidRDefault="00ED3D7C" w:rsidP="00ED3D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Міністерство освіти і науки України </w:t>
      </w:r>
    </w:p>
    <w:p w:rsidR="00ED3D7C" w:rsidRPr="003406CC" w:rsidRDefault="00ED3D7C" w:rsidP="00ED3D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Таврійський</w:t>
      </w:r>
      <w:r w:rsidR="002C0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</w:t>
      </w:r>
      <w:r w:rsidRPr="00340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 ім</w:t>
      </w:r>
      <w:r w:rsidR="002C0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ені </w:t>
      </w:r>
      <w:r w:rsidRPr="00340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="002C06B2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340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Вернадського </w:t>
      </w:r>
    </w:p>
    <w:p w:rsidR="00ED3D7C" w:rsidRDefault="00ED3D7C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10D" w:rsidRDefault="00CB210D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3D7C" w:rsidRDefault="007F34A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EC16A0" wp14:editId="522CD8DB">
            <wp:simplePos x="0" y="0"/>
            <wp:positionH relativeFrom="margin">
              <wp:posOffset>2159000</wp:posOffset>
            </wp:positionH>
            <wp:positionV relativeFrom="paragraph">
              <wp:posOffset>226695</wp:posOffset>
            </wp:positionV>
            <wp:extent cx="1325245" cy="1243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D7C" w:rsidRDefault="00ED3D7C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21A" w:rsidRDefault="00B6621A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490" w:rsidRPr="003406CC" w:rsidRDefault="003406CC" w:rsidP="003406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6CC">
        <w:rPr>
          <w:rFonts w:ascii="Times New Roman" w:hAnsi="Times New Roman" w:cs="Times New Roman"/>
          <w:b/>
          <w:sz w:val="28"/>
          <w:szCs w:val="28"/>
          <w:lang w:val="uk-UA"/>
        </w:rPr>
        <w:t>КОДЕКС АКАДЕМІЧНОЇ ДОБРОЧЕСНОСТІ</w:t>
      </w:r>
    </w:p>
    <w:p w:rsidR="003406CC" w:rsidRDefault="003406C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B6621A" w:rsidRDefault="00B6621A">
      <w:pPr>
        <w:rPr>
          <w:rFonts w:ascii="Times New Roman" w:hAnsi="Times New Roman" w:cs="Times New Roman"/>
          <w:lang w:val="uk-UA"/>
        </w:rPr>
      </w:pPr>
    </w:p>
    <w:p w:rsidR="00B6621A" w:rsidRDefault="00B6621A">
      <w:pPr>
        <w:rPr>
          <w:rFonts w:ascii="Times New Roman" w:hAnsi="Times New Roman" w:cs="Times New Roman"/>
          <w:lang w:val="uk-UA"/>
        </w:rPr>
      </w:pPr>
    </w:p>
    <w:p w:rsidR="00B6621A" w:rsidRDefault="00B6621A">
      <w:pPr>
        <w:rPr>
          <w:rFonts w:ascii="Times New Roman" w:hAnsi="Times New Roman" w:cs="Times New Roman"/>
          <w:lang w:val="uk-UA"/>
        </w:rPr>
      </w:pPr>
    </w:p>
    <w:p w:rsidR="00B6621A" w:rsidRDefault="00B6621A">
      <w:pPr>
        <w:rPr>
          <w:rFonts w:ascii="Times New Roman" w:hAnsi="Times New Roman" w:cs="Times New Roman"/>
          <w:lang w:val="uk-UA"/>
        </w:rPr>
      </w:pPr>
    </w:p>
    <w:p w:rsidR="00B6621A" w:rsidRDefault="00B6621A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ED3D7C" w:rsidRDefault="00ED3D7C">
      <w:pPr>
        <w:rPr>
          <w:rFonts w:ascii="Times New Roman" w:hAnsi="Times New Roman" w:cs="Times New Roman"/>
          <w:lang w:val="uk-UA"/>
        </w:rPr>
      </w:pPr>
    </w:p>
    <w:p w:rsidR="00B6621A" w:rsidRDefault="004C56DB" w:rsidP="00B662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>КИЇВ- 2020</w:t>
      </w:r>
    </w:p>
    <w:p w:rsidR="009E2700" w:rsidRPr="00D62D31" w:rsidRDefault="009E2700" w:rsidP="009E2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D31">
        <w:rPr>
          <w:rFonts w:ascii="Times New Roman" w:hAnsi="Times New Roman" w:cs="Times New Roman"/>
          <w:sz w:val="28"/>
          <w:szCs w:val="28"/>
        </w:rPr>
        <w:lastRenderedPageBreak/>
        <w:t>Укладачі</w:t>
      </w:r>
      <w:proofErr w:type="spellEnd"/>
      <w:r w:rsidRPr="00D62D31">
        <w:rPr>
          <w:rFonts w:ascii="Times New Roman" w:hAnsi="Times New Roman" w:cs="Times New Roman"/>
          <w:sz w:val="28"/>
          <w:szCs w:val="28"/>
        </w:rPr>
        <w:t>:</w:t>
      </w:r>
    </w:p>
    <w:p w:rsidR="00BA667A" w:rsidRPr="009E2700" w:rsidRDefault="00BA667A" w:rsidP="00BA667A">
      <w:pPr>
        <w:pStyle w:val="1"/>
        <w:shd w:val="clear" w:color="auto" w:fill="auto"/>
        <w:spacing w:line="480" w:lineRule="exact"/>
        <w:ind w:left="20" w:firstLine="700"/>
        <w:jc w:val="both"/>
        <w:rPr>
          <w:lang w:val="uk-UA" w:eastAsia="uk-UA"/>
        </w:rPr>
      </w:pPr>
      <w:proofErr w:type="spellStart"/>
      <w:r w:rsidRPr="00BA667A">
        <w:rPr>
          <w:rStyle w:val="a6"/>
          <w:lang w:val="uk-UA" w:eastAsia="uk-UA"/>
        </w:rPr>
        <w:t>Гаращенко</w:t>
      </w:r>
      <w:proofErr w:type="spellEnd"/>
      <w:r w:rsidRPr="00BA667A">
        <w:rPr>
          <w:rStyle w:val="a6"/>
          <w:lang w:val="uk-UA" w:eastAsia="uk-UA"/>
        </w:rPr>
        <w:t xml:space="preserve"> Н</w:t>
      </w:r>
      <w:r w:rsidRPr="00BA667A">
        <w:t>.</w:t>
      </w:r>
      <w:r w:rsidRPr="00BA667A">
        <w:rPr>
          <w:lang w:val="uk-UA" w:eastAsia="uk-UA"/>
        </w:rPr>
        <w:t xml:space="preserve">М. – радник ректора з питань якості освіти та </w:t>
      </w:r>
      <w:proofErr w:type="spellStart"/>
      <w:r w:rsidRPr="00BA667A">
        <w:rPr>
          <w:lang w:eastAsia="uk-UA"/>
        </w:rPr>
        <w:t>інноваційного</w:t>
      </w:r>
      <w:proofErr w:type="spellEnd"/>
      <w:r w:rsidR="004C56DB">
        <w:rPr>
          <w:lang w:val="uk-UA" w:eastAsia="uk-UA"/>
        </w:rPr>
        <w:t xml:space="preserve"> </w:t>
      </w:r>
      <w:proofErr w:type="spellStart"/>
      <w:r w:rsidRPr="00BA667A">
        <w:rPr>
          <w:lang w:eastAsia="uk-UA"/>
        </w:rPr>
        <w:t>розвитку</w:t>
      </w:r>
      <w:proofErr w:type="spellEnd"/>
      <w:r w:rsidRPr="00BA667A">
        <w:rPr>
          <w:lang w:val="uk-UA" w:eastAsia="uk-UA"/>
        </w:rPr>
        <w:t>, кандидат економічних наук, доцент</w:t>
      </w:r>
    </w:p>
    <w:p w:rsidR="00BA667A" w:rsidRDefault="00BA667A" w:rsidP="00BA667A">
      <w:pPr>
        <w:pStyle w:val="1"/>
        <w:shd w:val="clear" w:color="auto" w:fill="auto"/>
        <w:spacing w:line="480" w:lineRule="exact"/>
        <w:ind w:left="20" w:firstLine="700"/>
        <w:jc w:val="both"/>
        <w:rPr>
          <w:lang w:eastAsia="uk-UA"/>
        </w:rPr>
      </w:pPr>
      <w:r>
        <w:rPr>
          <w:rStyle w:val="a6"/>
          <w:lang w:eastAsia="uk-UA"/>
        </w:rPr>
        <w:t>Скакун Ю.</w:t>
      </w:r>
      <w:r w:rsidRPr="00065188">
        <w:rPr>
          <w:b/>
        </w:rPr>
        <w:t>В</w:t>
      </w:r>
      <w:r>
        <w:t xml:space="preserve">. – перший проректор, </w:t>
      </w:r>
      <w:r>
        <w:rPr>
          <w:lang w:eastAsia="uk-UA"/>
        </w:rPr>
        <w:t xml:space="preserve">кандидат </w:t>
      </w:r>
      <w:proofErr w:type="spellStart"/>
      <w:r>
        <w:rPr>
          <w:lang w:eastAsia="uk-UA"/>
        </w:rPr>
        <w:t>юридичних</w:t>
      </w:r>
      <w:proofErr w:type="spellEnd"/>
      <w:r>
        <w:rPr>
          <w:lang w:eastAsia="uk-UA"/>
        </w:rPr>
        <w:t xml:space="preserve"> наук, доцент.</w:t>
      </w:r>
    </w:p>
    <w:p w:rsidR="002F1E0C" w:rsidRPr="002F1E0C" w:rsidRDefault="009E2700" w:rsidP="002F1E0C">
      <w:pPr>
        <w:pStyle w:val="1"/>
        <w:shd w:val="clear" w:color="auto" w:fill="auto"/>
        <w:spacing w:line="480" w:lineRule="exact"/>
        <w:ind w:left="20" w:firstLine="700"/>
        <w:jc w:val="both"/>
        <w:rPr>
          <w:lang w:eastAsia="uk-UA"/>
        </w:rPr>
      </w:pPr>
      <w:proofErr w:type="spellStart"/>
      <w:r>
        <w:rPr>
          <w:rStyle w:val="a6"/>
          <w:lang w:eastAsia="uk-UA"/>
        </w:rPr>
        <w:t>Радомський</w:t>
      </w:r>
      <w:proofErr w:type="spellEnd"/>
      <w:r>
        <w:rPr>
          <w:rStyle w:val="a6"/>
          <w:lang w:eastAsia="uk-UA"/>
        </w:rPr>
        <w:t xml:space="preserve"> І.П.</w:t>
      </w:r>
      <w:r>
        <w:rPr>
          <w:lang w:eastAsia="uk-UA"/>
        </w:rPr>
        <w:t xml:space="preserve"> - директор ННЦООВ, кандидат </w:t>
      </w:r>
      <w:proofErr w:type="spellStart"/>
      <w:r>
        <w:rPr>
          <w:lang w:eastAsia="uk-UA"/>
        </w:rPr>
        <w:t>педагогічних</w:t>
      </w:r>
      <w:proofErr w:type="spellEnd"/>
      <w:r>
        <w:rPr>
          <w:lang w:eastAsia="uk-UA"/>
        </w:rPr>
        <w:t xml:space="preserve"> наук, доцент.</w:t>
      </w:r>
    </w:p>
    <w:p w:rsidR="009E2700" w:rsidRDefault="009E2700" w:rsidP="009E2700">
      <w:pPr>
        <w:pStyle w:val="1"/>
        <w:shd w:val="clear" w:color="auto" w:fill="auto"/>
        <w:spacing w:line="480" w:lineRule="exact"/>
        <w:ind w:left="20" w:firstLine="700"/>
        <w:jc w:val="both"/>
      </w:pPr>
    </w:p>
    <w:p w:rsidR="009E2700" w:rsidRDefault="009E2700" w:rsidP="009E2700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</w:p>
    <w:p w:rsidR="009E2700" w:rsidRDefault="009E2700" w:rsidP="009E2700">
      <w:pPr>
        <w:pStyle w:val="1"/>
        <w:shd w:val="clear" w:color="auto" w:fill="auto"/>
        <w:spacing w:line="480" w:lineRule="exact"/>
        <w:ind w:left="23" w:right="23" w:firstLine="697"/>
        <w:jc w:val="both"/>
        <w:rPr>
          <w:sz w:val="28"/>
          <w:szCs w:val="28"/>
        </w:rPr>
      </w:pPr>
    </w:p>
    <w:p w:rsidR="009E2700" w:rsidRPr="00BA667A" w:rsidRDefault="009E2700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  <w:proofErr w:type="spellStart"/>
      <w:r w:rsidRPr="00BA667A">
        <w:rPr>
          <w:sz w:val="28"/>
          <w:szCs w:val="28"/>
        </w:rPr>
        <w:t>Схвалено</w:t>
      </w:r>
      <w:proofErr w:type="spellEnd"/>
      <w:r w:rsidR="004C56D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A667A">
        <w:rPr>
          <w:sz w:val="28"/>
          <w:szCs w:val="28"/>
        </w:rPr>
        <w:t>р</w:t>
      </w:r>
      <w:proofErr w:type="gramEnd"/>
      <w:r w:rsidRPr="00BA667A">
        <w:rPr>
          <w:sz w:val="28"/>
          <w:szCs w:val="28"/>
        </w:rPr>
        <w:t>ішенням</w:t>
      </w:r>
      <w:proofErr w:type="spellEnd"/>
      <w:r w:rsidR="004C56DB">
        <w:rPr>
          <w:sz w:val="28"/>
          <w:szCs w:val="28"/>
          <w:lang w:val="uk-UA"/>
        </w:rPr>
        <w:t xml:space="preserve"> </w:t>
      </w:r>
      <w:proofErr w:type="spellStart"/>
      <w:r w:rsidRPr="00BA667A">
        <w:rPr>
          <w:sz w:val="28"/>
          <w:szCs w:val="28"/>
        </w:rPr>
        <w:t>навчально-методичної</w:t>
      </w:r>
      <w:proofErr w:type="spellEnd"/>
      <w:r w:rsidRPr="00BA667A">
        <w:rPr>
          <w:sz w:val="28"/>
          <w:szCs w:val="28"/>
        </w:rPr>
        <w:t xml:space="preserve"> ради ТНУ </w:t>
      </w:r>
      <w:proofErr w:type="spellStart"/>
      <w:r w:rsidRPr="00BA667A">
        <w:rPr>
          <w:sz w:val="28"/>
          <w:szCs w:val="28"/>
        </w:rPr>
        <w:t>від</w:t>
      </w:r>
      <w:proofErr w:type="spellEnd"/>
      <w:r w:rsidR="002C06B2">
        <w:rPr>
          <w:sz w:val="28"/>
          <w:szCs w:val="28"/>
          <w:lang w:val="uk-UA"/>
        </w:rPr>
        <w:t xml:space="preserve"> </w:t>
      </w:r>
      <w:r w:rsidR="001B1706">
        <w:rPr>
          <w:sz w:val="28"/>
          <w:szCs w:val="28"/>
          <w:lang w:val="uk-UA"/>
        </w:rPr>
        <w:t>27.01.</w:t>
      </w:r>
      <w:r w:rsidRPr="00BA667A">
        <w:rPr>
          <w:sz w:val="28"/>
          <w:szCs w:val="28"/>
          <w:lang w:val="uk-UA"/>
        </w:rPr>
        <w:t xml:space="preserve"> </w:t>
      </w:r>
      <w:r w:rsidR="00BA667A" w:rsidRPr="00BA667A">
        <w:rPr>
          <w:sz w:val="28"/>
          <w:szCs w:val="28"/>
          <w:lang w:val="uk-UA"/>
        </w:rPr>
        <w:t>2020</w:t>
      </w:r>
      <w:r w:rsidRPr="00BA667A">
        <w:rPr>
          <w:sz w:val="28"/>
          <w:szCs w:val="28"/>
        </w:rPr>
        <w:t xml:space="preserve"> р. № </w:t>
      </w:r>
      <w:r w:rsidR="007F34AA">
        <w:rPr>
          <w:sz w:val="28"/>
          <w:szCs w:val="28"/>
          <w:lang w:val="uk-UA"/>
        </w:rPr>
        <w:t>5</w:t>
      </w:r>
      <w:bookmarkStart w:id="0" w:name="_GoBack"/>
      <w:bookmarkEnd w:id="0"/>
      <w:r w:rsidRPr="00BA667A">
        <w:rPr>
          <w:sz w:val="28"/>
          <w:szCs w:val="28"/>
        </w:rPr>
        <w:t>.</w:t>
      </w:r>
    </w:p>
    <w:p w:rsidR="009E2700" w:rsidRDefault="009E2700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  <w:proofErr w:type="spellStart"/>
      <w:r w:rsidRPr="00BA667A">
        <w:rPr>
          <w:sz w:val="28"/>
          <w:szCs w:val="28"/>
        </w:rPr>
        <w:t>Затверджено</w:t>
      </w:r>
      <w:proofErr w:type="spellEnd"/>
      <w:r w:rsidR="002C06B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EC70CE">
        <w:rPr>
          <w:sz w:val="28"/>
          <w:szCs w:val="28"/>
        </w:rPr>
        <w:t>р</w:t>
      </w:r>
      <w:proofErr w:type="gramEnd"/>
      <w:r w:rsidRPr="00EC70CE">
        <w:rPr>
          <w:sz w:val="28"/>
          <w:szCs w:val="28"/>
        </w:rPr>
        <w:t>ішенням</w:t>
      </w:r>
      <w:proofErr w:type="spellEnd"/>
      <w:r w:rsidR="002C06B2">
        <w:rPr>
          <w:sz w:val="28"/>
          <w:szCs w:val="28"/>
          <w:lang w:val="uk-UA"/>
        </w:rPr>
        <w:t xml:space="preserve"> </w:t>
      </w:r>
      <w:proofErr w:type="spellStart"/>
      <w:r w:rsidRPr="00EC70CE">
        <w:rPr>
          <w:sz w:val="28"/>
          <w:szCs w:val="28"/>
        </w:rPr>
        <w:t>Вченої</w:t>
      </w:r>
      <w:proofErr w:type="spellEnd"/>
      <w:r w:rsidRPr="00EC70CE">
        <w:rPr>
          <w:sz w:val="28"/>
          <w:szCs w:val="28"/>
        </w:rPr>
        <w:t xml:space="preserve"> ради ТНУ </w:t>
      </w:r>
      <w:proofErr w:type="spellStart"/>
      <w:r w:rsidRPr="00EC70CE">
        <w:rPr>
          <w:sz w:val="28"/>
          <w:szCs w:val="28"/>
        </w:rPr>
        <w:t>від</w:t>
      </w:r>
      <w:proofErr w:type="spellEnd"/>
      <w:r w:rsidR="002C06B2">
        <w:rPr>
          <w:sz w:val="28"/>
          <w:szCs w:val="28"/>
          <w:lang w:val="uk-UA"/>
        </w:rPr>
        <w:t xml:space="preserve">  </w:t>
      </w:r>
      <w:r w:rsidR="001B1706">
        <w:rPr>
          <w:sz w:val="28"/>
          <w:szCs w:val="28"/>
          <w:lang w:val="uk-UA"/>
        </w:rPr>
        <w:t xml:space="preserve">29.01. </w:t>
      </w:r>
      <w:r w:rsidR="00BA667A">
        <w:rPr>
          <w:sz w:val="28"/>
          <w:szCs w:val="28"/>
        </w:rPr>
        <w:t>2020</w:t>
      </w:r>
      <w:r w:rsidRPr="00EC70CE">
        <w:rPr>
          <w:sz w:val="28"/>
          <w:szCs w:val="28"/>
        </w:rPr>
        <w:t xml:space="preserve"> р. протокол  №</w:t>
      </w:r>
      <w:r w:rsidR="001B1706">
        <w:rPr>
          <w:sz w:val="28"/>
          <w:szCs w:val="28"/>
          <w:lang w:val="uk-UA"/>
        </w:rPr>
        <w:t xml:space="preserve"> 5</w:t>
      </w:r>
      <w:r w:rsidRPr="00EC70CE">
        <w:rPr>
          <w:sz w:val="28"/>
          <w:szCs w:val="28"/>
        </w:rPr>
        <w:t>.</w:t>
      </w:r>
    </w:p>
    <w:p w:rsidR="009E2700" w:rsidRDefault="009E2700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  <w:r w:rsidRPr="00EC70CE">
        <w:rPr>
          <w:lang w:eastAsia="uk-UA"/>
        </w:rPr>
        <w:t xml:space="preserve">Уведено в </w:t>
      </w:r>
      <w:proofErr w:type="spellStart"/>
      <w:r w:rsidRPr="00EC70CE">
        <w:rPr>
          <w:lang w:eastAsia="uk-UA"/>
        </w:rPr>
        <w:t>дію</w:t>
      </w:r>
      <w:proofErr w:type="spellEnd"/>
      <w:r w:rsidRPr="00EC70CE">
        <w:rPr>
          <w:lang w:eastAsia="uk-UA"/>
        </w:rPr>
        <w:t xml:space="preserve"> наказом ректора ТНУ </w:t>
      </w:r>
      <w:proofErr w:type="spellStart"/>
      <w:r w:rsidRPr="00EC70CE">
        <w:rPr>
          <w:sz w:val="28"/>
          <w:szCs w:val="28"/>
        </w:rPr>
        <w:t>від</w:t>
      </w:r>
      <w:proofErr w:type="spellEnd"/>
      <w:r w:rsidR="002C06B2">
        <w:rPr>
          <w:sz w:val="28"/>
          <w:szCs w:val="28"/>
          <w:lang w:val="uk-UA"/>
        </w:rPr>
        <w:t xml:space="preserve"> </w:t>
      </w:r>
      <w:r w:rsidR="001B1706">
        <w:rPr>
          <w:sz w:val="28"/>
          <w:szCs w:val="28"/>
          <w:lang w:val="uk-UA"/>
        </w:rPr>
        <w:t xml:space="preserve">29.01. </w:t>
      </w:r>
      <w:r w:rsidR="00993288">
        <w:rPr>
          <w:sz w:val="28"/>
          <w:szCs w:val="28"/>
          <w:lang w:val="uk-UA"/>
        </w:rPr>
        <w:t>2020</w:t>
      </w:r>
      <w:r w:rsidRPr="00EC70CE">
        <w:rPr>
          <w:sz w:val="28"/>
          <w:szCs w:val="28"/>
        </w:rPr>
        <w:t xml:space="preserve"> р. № </w:t>
      </w:r>
      <w:r w:rsidR="00F038EC">
        <w:rPr>
          <w:sz w:val="28"/>
          <w:szCs w:val="28"/>
          <w:lang w:val="uk-UA"/>
        </w:rPr>
        <w:t>17</w:t>
      </w:r>
      <w:r w:rsidR="001B1706">
        <w:rPr>
          <w:sz w:val="28"/>
          <w:szCs w:val="28"/>
          <w:lang w:val="uk-UA"/>
        </w:rPr>
        <w:t xml:space="preserve"> -ОД</w:t>
      </w: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2F1E0C" w:rsidRDefault="002F1E0C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2F1E0C" w:rsidRDefault="002F1E0C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2C06B2" w:rsidRDefault="002C06B2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2C06B2" w:rsidRDefault="002C06B2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2C06B2" w:rsidRDefault="002C06B2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2F1E0C" w:rsidRDefault="002F1E0C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  <w:lang w:val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93288">
      <w:pPr>
        <w:pStyle w:val="1"/>
        <w:shd w:val="clear" w:color="auto" w:fill="auto"/>
        <w:spacing w:line="322" w:lineRule="exact"/>
        <w:ind w:left="20" w:right="20" w:firstLine="700"/>
        <w:jc w:val="center"/>
        <w:rPr>
          <w:b/>
          <w:lang w:eastAsia="uk-UA"/>
        </w:rPr>
      </w:pPr>
      <w:bookmarkStart w:id="1" w:name="bookmark1"/>
      <w:r w:rsidRPr="00513057">
        <w:rPr>
          <w:b/>
          <w:lang w:eastAsia="uk-UA"/>
        </w:rPr>
        <w:lastRenderedPageBreak/>
        <w:t>ЗМІСТ</w:t>
      </w:r>
      <w:bookmarkEnd w:id="1"/>
    </w:p>
    <w:p w:rsidR="00680997" w:rsidRPr="00513057" w:rsidRDefault="00680997" w:rsidP="00680997">
      <w:pPr>
        <w:pStyle w:val="1"/>
        <w:shd w:val="clear" w:color="auto" w:fill="auto"/>
        <w:spacing w:line="322" w:lineRule="exact"/>
        <w:ind w:left="20" w:right="20" w:firstLine="700"/>
        <w:rPr>
          <w:b/>
        </w:rPr>
      </w:pPr>
    </w:p>
    <w:p w:rsidR="00544357" w:rsidRPr="00680997" w:rsidRDefault="00B6621A" w:rsidP="00544357">
      <w:pPr>
        <w:pStyle w:val="40"/>
        <w:keepNext/>
        <w:keepLines/>
        <w:numPr>
          <w:ilvl w:val="0"/>
          <w:numId w:val="6"/>
        </w:numPr>
        <w:shd w:val="clear" w:color="auto" w:fill="auto"/>
        <w:spacing w:after="0" w:line="317" w:lineRule="exact"/>
        <w:rPr>
          <w:b w:val="0"/>
          <w:lang w:eastAsia="uk-UA"/>
        </w:rPr>
      </w:pPr>
      <w:r w:rsidRPr="00680997">
        <w:rPr>
          <w:b w:val="0"/>
          <w:lang w:eastAsia="uk-UA"/>
        </w:rPr>
        <w:t xml:space="preserve">ЗАГАЛЬРНІ ПОЛОЖЕННЯ </w:t>
      </w:r>
    </w:p>
    <w:p w:rsidR="00544357" w:rsidRPr="00680997" w:rsidRDefault="00544357" w:rsidP="00544357">
      <w:pPr>
        <w:pStyle w:val="40"/>
        <w:keepNext/>
        <w:keepLines/>
        <w:numPr>
          <w:ilvl w:val="0"/>
          <w:numId w:val="6"/>
        </w:numPr>
        <w:shd w:val="clear" w:color="auto" w:fill="auto"/>
        <w:spacing w:after="0" w:line="317" w:lineRule="exact"/>
        <w:rPr>
          <w:b w:val="0"/>
          <w:lang w:eastAsia="uk-UA"/>
        </w:rPr>
      </w:pPr>
      <w:r w:rsidRPr="00680997">
        <w:rPr>
          <w:b w:val="0"/>
          <w:lang w:eastAsia="uk-UA"/>
        </w:rPr>
        <w:t xml:space="preserve">ВИМОГИ ЩОДО ДОТРИМАННЯ АКАДЕМІЧНОЇ ДОБРОЧЕСНОСТІ </w:t>
      </w:r>
    </w:p>
    <w:p w:rsidR="00680997" w:rsidRPr="00680997" w:rsidRDefault="00680997" w:rsidP="0068099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184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ВІДПОВІДАЛЬНІСТЬ (САНКЦІЇ) ЗА ПОРУШЕННЯ АКАДЕМІЧНОЇ ДОБРОЧЕСНОСТІ</w:t>
      </w:r>
    </w:p>
    <w:p w:rsidR="00680997" w:rsidRPr="00680997" w:rsidRDefault="00680997" w:rsidP="0068099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184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КОМІСІЯ З ПИТАНЬ АКАДЕМІЧНОЇ ДОБРОЧЕСНОСТІ</w:t>
      </w:r>
    </w:p>
    <w:p w:rsidR="00680997" w:rsidRPr="00680997" w:rsidRDefault="00680997" w:rsidP="0068099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184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УПРАВЛІННЯ ПРОЦЕСОМ ДОТРИМАННЯ АКАДЕМІЧНОЇ ДОБРОЧЕСНОСТІ</w:t>
      </w:r>
    </w:p>
    <w:p w:rsidR="00680997" w:rsidRPr="00680997" w:rsidRDefault="00680997" w:rsidP="0068099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184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ГРУПА СПРИЯННЯ ДОТРИМАННЯ АКАДЕМІЧНОЇ ДОБРОЧЕСНОСТІ</w:t>
      </w:r>
    </w:p>
    <w:p w:rsidR="00680997" w:rsidRPr="00680997" w:rsidRDefault="00680997" w:rsidP="0068099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184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ПРИКІНЦЕВІ ПОЛОЖЕННЯ</w:t>
      </w:r>
    </w:p>
    <w:p w:rsidR="00993288" w:rsidRPr="00993288" w:rsidRDefault="00993288" w:rsidP="00680997">
      <w:pPr>
        <w:pStyle w:val="40"/>
        <w:keepNext/>
        <w:keepLines/>
        <w:shd w:val="clear" w:color="auto" w:fill="auto"/>
        <w:spacing w:after="0" w:line="317" w:lineRule="exact"/>
        <w:rPr>
          <w:highlight w:val="yellow"/>
        </w:rPr>
      </w:pPr>
    </w:p>
    <w:p w:rsidR="00993288" w:rsidRPr="001C1D98" w:rsidRDefault="00993288" w:rsidP="00993288">
      <w:pPr>
        <w:pStyle w:val="1"/>
        <w:spacing w:line="276" w:lineRule="auto"/>
        <w:ind w:right="20"/>
        <w:jc w:val="both"/>
        <w:rPr>
          <w:b/>
          <w:sz w:val="28"/>
          <w:szCs w:val="28"/>
          <w:lang w:eastAsia="uk-UA"/>
        </w:rPr>
      </w:pPr>
    </w:p>
    <w:p w:rsidR="00993288" w:rsidRPr="001C1D98" w:rsidRDefault="00993288" w:rsidP="00993288">
      <w:pPr>
        <w:pStyle w:val="1"/>
        <w:spacing w:line="276" w:lineRule="auto"/>
        <w:ind w:left="20" w:right="20" w:hanging="20"/>
        <w:jc w:val="both"/>
        <w:rPr>
          <w:b/>
          <w:sz w:val="28"/>
          <w:szCs w:val="28"/>
          <w:lang w:eastAsia="uk-UA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993288" w:rsidRDefault="00993288" w:rsidP="009E2700">
      <w:pPr>
        <w:pStyle w:val="1"/>
        <w:shd w:val="clear" w:color="auto" w:fill="auto"/>
        <w:spacing w:line="480" w:lineRule="exact"/>
        <w:ind w:left="23" w:right="23" w:hanging="23"/>
        <w:jc w:val="both"/>
        <w:rPr>
          <w:sz w:val="28"/>
          <w:szCs w:val="28"/>
        </w:rPr>
      </w:pPr>
    </w:p>
    <w:p w:rsidR="00680997" w:rsidRDefault="00680997" w:rsidP="00EE31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ADD" w:rsidRDefault="00C87ADD" w:rsidP="00EE31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997" w:rsidRDefault="00680997" w:rsidP="00EE31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997" w:rsidRDefault="00680997" w:rsidP="00EE31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997" w:rsidRDefault="00680997" w:rsidP="00EE31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D7C" w:rsidRDefault="00ED3D7C" w:rsidP="00EE31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ПРЕАМБУЛА</w:t>
      </w:r>
    </w:p>
    <w:p w:rsidR="00C87ADD" w:rsidRDefault="00C87ADD" w:rsidP="008307B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63C" w:rsidRPr="00EE31CB" w:rsidRDefault="00022CF3" w:rsidP="008307B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Кодекс академічної доброчесності  розроблено для забезпечення дотримання </w:t>
      </w:r>
      <w:r w:rsidR="00B9163C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стандартів академічної доброчесності, етичної поведінки та </w:t>
      </w:r>
      <w:r w:rsidR="00833B0C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відповідальності 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>представниками академічної спільноти ТНУ ім.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В. Вернадського</w:t>
      </w:r>
      <w:r w:rsidR="00B9163C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33B0C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освітнього процесу</w:t>
      </w:r>
      <w:r w:rsidR="00B9163C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співробітниками. </w:t>
      </w:r>
    </w:p>
    <w:p w:rsidR="00EE31CB" w:rsidRPr="00EE31CB" w:rsidRDefault="00B9163C" w:rsidP="008307B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Даний Кодекс розроблено з метою запобігання 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обман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>у (шахрайству)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>нечесності</w:t>
      </w:r>
      <w:r w:rsidR="000A44B5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, а також забезпечення справедливості  розгляду справ про </w:t>
      </w:r>
      <w:r w:rsidR="000A44B5" w:rsidRPr="001B1706">
        <w:rPr>
          <w:rFonts w:ascii="Times New Roman" w:hAnsi="Times New Roman" w:cs="Times New Roman"/>
          <w:sz w:val="28"/>
          <w:szCs w:val="28"/>
          <w:lang w:val="uk-UA"/>
        </w:rPr>
        <w:t>академічні проступки, базуючись на певному наборі процедур, включаючи</w:t>
      </w:r>
      <w:r w:rsidR="000A44B5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документування (фіксацію) порушень та 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санкцій. Академічна доброчесність визначається як чесність та етична поведінка у </w:t>
      </w:r>
      <w:r w:rsidR="000A44B5" w:rsidRPr="00EE31CB">
        <w:rPr>
          <w:rFonts w:ascii="Times New Roman" w:hAnsi="Times New Roman" w:cs="Times New Roman"/>
          <w:sz w:val="28"/>
          <w:szCs w:val="28"/>
          <w:lang w:val="uk-UA"/>
        </w:rPr>
        <w:t>викладанні, навчанні та науковій діяльності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Навчальне середовище покращується, коли студенти вважають, що їх академічну компетентність оцінюють справедливо і що вони не опиняться у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>невигідному стані  через нечесність інших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члени університетської громади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зобов’язані </w:t>
      </w:r>
      <w:r w:rsidR="00022CF3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дотримуватимуться найвищих стандартів академічної доброчесності. </w:t>
      </w:r>
    </w:p>
    <w:p w:rsidR="00022CF3" w:rsidRPr="00EE31CB" w:rsidRDefault="00022CF3" w:rsidP="008307B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Кодекс академічної доброчесності застосовується до всіх </w:t>
      </w:r>
      <w:r w:rsidR="00F83953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F83953" w:rsidRPr="001B1706">
        <w:rPr>
          <w:rFonts w:ascii="Times New Roman" w:hAnsi="Times New Roman" w:cs="Times New Roman"/>
          <w:sz w:val="28"/>
          <w:szCs w:val="28"/>
          <w:lang w:val="uk-UA"/>
        </w:rPr>
        <w:t>вищої освіти</w:t>
      </w:r>
      <w:r w:rsidR="00C71230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та співробітників, інших учасників </w:t>
      </w:r>
      <w:proofErr w:type="spellStart"/>
      <w:r w:rsidR="00C71230" w:rsidRPr="001B1706">
        <w:rPr>
          <w:rFonts w:ascii="Times New Roman" w:hAnsi="Times New Roman" w:cs="Times New Roman"/>
          <w:sz w:val="28"/>
          <w:szCs w:val="28"/>
          <w:lang w:val="uk-UA"/>
        </w:rPr>
        <w:t>освітньо-наукового</w:t>
      </w:r>
      <w:proofErr w:type="spellEnd"/>
      <w:r w:rsidR="00C71230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>ус</w:t>
      </w:r>
      <w:r w:rsidR="00EE31CB">
        <w:rPr>
          <w:rFonts w:ascii="Times New Roman" w:hAnsi="Times New Roman" w:cs="Times New Roman"/>
          <w:sz w:val="28"/>
          <w:szCs w:val="28"/>
          <w:lang w:val="uk-UA"/>
        </w:rPr>
        <w:t>іх навчально-наукових інститутів, коледжів та інших підрозділів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Університету, філ</w:t>
      </w:r>
      <w:r w:rsidR="00EE31CB">
        <w:rPr>
          <w:rFonts w:ascii="Times New Roman" w:hAnsi="Times New Roman" w:cs="Times New Roman"/>
          <w:sz w:val="28"/>
          <w:szCs w:val="28"/>
          <w:lang w:val="uk-UA"/>
        </w:rPr>
        <w:t>ій, представництв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 в будь-якому місці розташування. 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Він замінює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всі розроблені до прийняття цього кодексу політики, правила, положення  </w:t>
      </w:r>
      <w:r w:rsidR="00EE31C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доброчесності в різних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підрозділах  Університету, філіях, представництвах. 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Усі</w:t>
      </w:r>
      <w:r w:rsidR="00C7123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вищої освіти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>зараховані до будь-якого навчально-наукового Інституту, підпорядкованого закладу Університету, а також всі співробітники</w:t>
      </w:r>
      <w:r w:rsidR="00C71230">
        <w:rPr>
          <w:rFonts w:ascii="Times New Roman" w:hAnsi="Times New Roman" w:cs="Times New Roman"/>
          <w:sz w:val="28"/>
          <w:szCs w:val="28"/>
          <w:lang w:val="uk-UA"/>
        </w:rPr>
        <w:t xml:space="preserve"> та інші учасники </w:t>
      </w:r>
      <w:proofErr w:type="spellStart"/>
      <w:r w:rsidR="00C71230">
        <w:rPr>
          <w:rFonts w:ascii="Times New Roman" w:hAnsi="Times New Roman" w:cs="Times New Roman"/>
          <w:sz w:val="28"/>
          <w:szCs w:val="28"/>
          <w:lang w:val="uk-UA"/>
        </w:rPr>
        <w:t>освітньо-наукового</w:t>
      </w:r>
      <w:proofErr w:type="spellEnd"/>
      <w:r w:rsidR="00C71230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всіх структурних підрозділів та підпорядкованих закладів, 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підпадають під дію цього Кодексу,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>повинні бути ознайомлені</w:t>
      </w: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E31CB"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положеннями </w:t>
      </w:r>
      <w:r w:rsidR="00EE31CB" w:rsidRPr="001B1706">
        <w:rPr>
          <w:rFonts w:ascii="Times New Roman" w:hAnsi="Times New Roman" w:cs="Times New Roman"/>
          <w:sz w:val="28"/>
          <w:szCs w:val="28"/>
          <w:lang w:val="uk-UA"/>
        </w:rPr>
        <w:t>Кодексу та дотримуватимуться політик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>, процедур та санкцій цього Кодексу.</w:t>
      </w:r>
    </w:p>
    <w:p w:rsidR="00EE31CB" w:rsidRDefault="00EE31CB" w:rsidP="00EE31CB">
      <w:pPr>
        <w:pStyle w:val="a3"/>
        <w:ind w:firstLine="696"/>
        <w:rPr>
          <w:rFonts w:ascii="Times New Roman" w:hAnsi="Times New Roman" w:cs="Times New Roman"/>
          <w:lang w:val="uk-UA"/>
        </w:rPr>
      </w:pPr>
    </w:p>
    <w:p w:rsidR="008466B1" w:rsidRDefault="00ED3D7C" w:rsidP="008466B1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1CB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ПОЛОЖЕННЯ </w:t>
      </w:r>
    </w:p>
    <w:p w:rsidR="008466B1" w:rsidRDefault="008466B1" w:rsidP="008466B1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BDC" w:rsidRPr="000A2BDC" w:rsidRDefault="008466B1" w:rsidP="000A2BDC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6B1">
        <w:rPr>
          <w:rFonts w:ascii="Times New Roman" w:hAnsi="Times New Roman" w:cs="Times New Roman"/>
          <w:sz w:val="28"/>
          <w:szCs w:val="28"/>
          <w:lang w:val="uk-UA"/>
        </w:rPr>
        <w:t xml:space="preserve">Кодекс академічної доброчесності Таврійського національного університету ім. В. Вернадського 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стандарти здійснення </w:t>
      </w:r>
      <w:proofErr w:type="spellStart"/>
      <w:r w:rsidR="00844BC7" w:rsidRPr="0068099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>-наукової</w:t>
      </w:r>
      <w:proofErr w:type="spellEnd"/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діяльно</w:t>
      </w:r>
      <w:r w:rsidR="00ED3D7C">
        <w:rPr>
          <w:rFonts w:ascii="Times New Roman" w:hAnsi="Times New Roman" w:cs="Times New Roman"/>
          <w:sz w:val="28"/>
          <w:szCs w:val="28"/>
          <w:lang w:val="uk-UA"/>
        </w:rPr>
        <w:t xml:space="preserve">сті здобувачами вищої освіти,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співробітниками 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ED3D7C">
        <w:rPr>
          <w:rFonts w:ascii="Times New Roman" w:hAnsi="Times New Roman" w:cs="Times New Roman"/>
          <w:sz w:val="28"/>
          <w:szCs w:val="28"/>
          <w:lang w:val="uk-UA"/>
        </w:rPr>
        <w:t xml:space="preserve">та іншими учасниками освітнього процесу 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 xml:space="preserve">з дотриманням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основних 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 xml:space="preserve">принципів,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>моральних і правових норм академічної поведінки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BDC" w:rsidRPr="000A2BDC" w:rsidRDefault="008466B1" w:rsidP="000A2BDC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Кодекс розроблено на дотримання вимог чинного законодавства України,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освіту», «Про вищу освіту», «Про наукову і науково-технічну діяльність», «Про авторське право і суміжні права», нормативно-правових актів Кабінету Міністрів України, чинних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наказів і рекомендацій Міністерства освіти і науки України, Національного агентства із забезпечення якості вищої освіти, іншої заг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 xml:space="preserve">альнодержавної нормативної бази, </w:t>
      </w:r>
      <w:r>
        <w:rPr>
          <w:rFonts w:ascii="Times New Roman" w:hAnsi="Times New Roman" w:cs="Times New Roman"/>
          <w:sz w:val="28"/>
          <w:szCs w:val="28"/>
          <w:lang w:val="uk-UA"/>
        </w:rPr>
        <w:t>Бухарестської декларації етичних цінностей і принципів вищої освіти в Європі, Статуту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Колективного договору, 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равил внутрішнього трудового розпорядку</w:t>
      </w:r>
      <w:r w:rsidR="00844BC7" w:rsidRPr="008466B1">
        <w:rPr>
          <w:rFonts w:ascii="Times New Roman" w:hAnsi="Times New Roman" w:cs="Times New Roman"/>
          <w:sz w:val="28"/>
          <w:szCs w:val="28"/>
          <w:lang w:val="uk-UA"/>
        </w:rPr>
        <w:t>Таврійського національного університету ім. В. Вернадського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нормативних документів університету.  При розробці Кодексу враховано положення документу  Міжнародного</w:t>
      </w:r>
      <w:r w:rsidRPr="008466B1">
        <w:rPr>
          <w:rFonts w:ascii="Times New Roman" w:hAnsi="Times New Roman" w:cs="Times New Roman"/>
          <w:sz w:val="28"/>
          <w:szCs w:val="28"/>
          <w:lang w:val="uk-UA"/>
        </w:rPr>
        <w:t xml:space="preserve"> цен</w:t>
      </w:r>
      <w:r>
        <w:rPr>
          <w:rFonts w:ascii="Times New Roman" w:hAnsi="Times New Roman" w:cs="Times New Roman"/>
          <w:sz w:val="28"/>
          <w:szCs w:val="28"/>
          <w:lang w:val="uk-UA"/>
        </w:rPr>
        <w:t>тру</w:t>
      </w:r>
      <w:r w:rsidRPr="008466B1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«Фундаментальні цінності академічної доброчесності</w:t>
      </w:r>
      <w:r w:rsidR="00844B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6B1" w:rsidRDefault="005F2C16" w:rsidP="000A2BDC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представниками університетської спільноти положень Кодексу забезпечить формування в Університеті системи демократичних відносин, розвиток академічної свободи,сприятиме посиленню іміджу та репутації    Університету як такого, що забезпечує якість викладацької, навчальної та наукової діяльності через використання кращих практик щодо дотримання академічної доброчесності.   </w:t>
      </w:r>
    </w:p>
    <w:p w:rsidR="005F2C16" w:rsidRDefault="005F2C16" w:rsidP="000A2BDC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Кодексі терміни вживаються у такому значенні:</w:t>
      </w:r>
    </w:p>
    <w:p w:rsidR="00486A9F" w:rsidRPr="00680997" w:rsidRDefault="00486A9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 </w:t>
      </w:r>
      <w:r w:rsidR="00F83953"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фізична особа, творчою працею якої створено твір</w:t>
      </w:r>
    </w:p>
    <w:p w:rsidR="00844BC7" w:rsidRPr="00680997" w:rsidRDefault="00ED3D7C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Академічна доброчесність</w:t>
      </w: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- це сукупність етичних принципів і визначених законом України «Про освіту» правил, якими мають керуватися учасники освітнього процесу під час навчання, викладання та провадження наукової діяльності. Метою реалізації принципів академічної доброчесності є забезпечення довіри до результатів навчання та/або наукових досягнень</w:t>
      </w:r>
    </w:p>
    <w:p w:rsidR="00486A9F" w:rsidRPr="00680997" w:rsidRDefault="00486A9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Етика академічних взаємовідносин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– сукупність встановлених і визнаних освітньою та науковою спільнотами правил моралі здобувачів вищої освіти, співробітників університету</w:t>
      </w:r>
    </w:p>
    <w:p w:rsidR="00DE0C35" w:rsidRPr="00680997" w:rsidRDefault="00DE0C35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Звернення -  викладені в письмовій або усній формі пропозиції (зауваження), заяви (клопотання) і скарги.</w:t>
      </w:r>
    </w:p>
    <w:p w:rsidR="00486A9F" w:rsidRPr="00680997" w:rsidRDefault="00486A9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Ілюстративне запозичення </w:t>
      </w:r>
      <w:r w:rsidR="00F83953" w:rsidRPr="00680997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відтворення ілюстрації з першоджерела</w:t>
      </w:r>
    </w:p>
    <w:p w:rsidR="00486A9F" w:rsidRPr="00680997" w:rsidRDefault="00486A9F" w:rsidP="00486A9F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Парафраза –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переказ, виклад першоджерела своїми словами</w:t>
      </w:r>
    </w:p>
    <w:p w:rsidR="00486A9F" w:rsidRPr="00680997" w:rsidRDefault="00486A9F" w:rsidP="00486A9F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Першоджерело </w:t>
      </w: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безпосереднє джерело певних відомостей або оригінальна основоположна праця (о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ублікований текст інших авторів), що містить первинну інформацію</w:t>
      </w:r>
    </w:p>
    <w:p w:rsidR="00844BC7" w:rsidRPr="00680997" w:rsidRDefault="00ED3D7C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Співробітник</w:t>
      </w: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– фізична особа, що перебуває у трудових відносинах з Університетом і безпосередньо виконує роботу за трудовим договором.</w:t>
      </w:r>
    </w:p>
    <w:p w:rsidR="00486A9F" w:rsidRPr="00680997" w:rsidRDefault="00486A9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Твір (робота, матеріал)</w:t>
      </w:r>
      <w:r w:rsidR="00F83953"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інформація, як результат наукової чи навчально-методичної діяльності конкретної особи (чи у співавторстві), представлена на паперових носіях або в електронному вигляді у мережі Інтернет ( (монографія, підручник, навчальний посібник, стаття, тези, препринт, автореферат 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>і рукопис дисертації (дисертацій</w:t>
      </w:r>
      <w:r w:rsidR="00F83953" w:rsidRPr="00680997">
        <w:rPr>
          <w:rFonts w:ascii="Times New Roman" w:hAnsi="Times New Roman" w:cs="Times New Roman"/>
          <w:sz w:val="28"/>
          <w:szCs w:val="28"/>
          <w:lang w:val="uk-UA"/>
        </w:rPr>
        <w:t>на робота), магістерська чи бакалаврська робота</w:t>
      </w:r>
      <w:r w:rsidR="00ED0601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, курсова робота чи проект, реферат, есе, контрольна робота, аналітична або аналітично-розрахункова робота тощо)  </w:t>
      </w:r>
    </w:p>
    <w:p w:rsidR="00486A9F" w:rsidRPr="00680997" w:rsidRDefault="00486A9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Текстове запозичення</w:t>
      </w:r>
      <w:r w:rsidR="00ED0601"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ED0601" w:rsidRPr="00680997">
        <w:rPr>
          <w:rFonts w:ascii="Times New Roman" w:hAnsi="Times New Roman" w:cs="Times New Roman"/>
          <w:sz w:val="28"/>
          <w:szCs w:val="28"/>
          <w:lang w:val="uk-UA"/>
        </w:rPr>
        <w:t>дослівне відтворення тексту першоджерела</w:t>
      </w:r>
    </w:p>
    <w:p w:rsidR="00486A9F" w:rsidRPr="00680997" w:rsidRDefault="00ED3D7C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Університетська спільнота</w:t>
      </w: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-  співробітники та учасники освітнього процесу.</w:t>
      </w:r>
    </w:p>
    <w:p w:rsidR="00486A9F" w:rsidRPr="00680997" w:rsidRDefault="00013AE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Оригінальність ( </w:t>
      </w:r>
      <w:r w:rsidR="00486A9F" w:rsidRPr="00680997">
        <w:rPr>
          <w:rFonts w:ascii="Times New Roman" w:hAnsi="Times New Roman" w:cs="Times New Roman"/>
          <w:i/>
          <w:sz w:val="28"/>
          <w:szCs w:val="28"/>
          <w:lang w:val="uk-UA"/>
        </w:rPr>
        <w:t>Унікальність</w:t>
      </w: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86A9F"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тексту твору (роботи, матеріалу)</w:t>
      </w:r>
    </w:p>
    <w:p w:rsidR="00486A9F" w:rsidRPr="00ED0601" w:rsidRDefault="00486A9F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809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Цитата – </w:t>
      </w:r>
      <w:r w:rsidR="00ED0601">
        <w:rPr>
          <w:rFonts w:ascii="Times New Roman" w:hAnsi="Times New Roman" w:cs="Times New Roman"/>
          <w:sz w:val="28"/>
          <w:szCs w:val="28"/>
          <w:lang w:val="uk-UA"/>
        </w:rPr>
        <w:t>порівняно стислий</w:t>
      </w:r>
      <w:r w:rsidR="00ED0601" w:rsidRPr="00ED0601">
        <w:rPr>
          <w:rFonts w:ascii="Times New Roman" w:hAnsi="Times New Roman" w:cs="Times New Roman"/>
          <w:sz w:val="28"/>
          <w:szCs w:val="28"/>
          <w:lang w:val="uk-UA"/>
        </w:rPr>
        <w:t xml:space="preserve"> уривок з літературного, наукового чи будь-якого іншого (у тому числі оприлюдненого в мережі Інтернет</w:t>
      </w:r>
      <w:r w:rsidR="00ED0601">
        <w:rPr>
          <w:rFonts w:ascii="Times New Roman" w:hAnsi="Times New Roman" w:cs="Times New Roman"/>
          <w:sz w:val="28"/>
          <w:szCs w:val="28"/>
          <w:lang w:val="uk-UA"/>
        </w:rPr>
        <w:t>) твору, який використовується, з обов’язковим посиланням на його автора і джерело цитування, іншою особою у своєму творі з метою зробити зрозумілішими власні твердження або для посилання на погляди іншого автора в автентичному формулюванні</w:t>
      </w:r>
    </w:p>
    <w:p w:rsidR="00AE4ADC" w:rsidRPr="000A2BDC" w:rsidRDefault="00AE4ADC" w:rsidP="000A2BDC">
      <w:pPr>
        <w:pStyle w:val="a3"/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ADC">
        <w:rPr>
          <w:rFonts w:ascii="Times New Roman" w:hAnsi="Times New Roman" w:cs="Times New Roman"/>
          <w:i/>
          <w:sz w:val="28"/>
          <w:szCs w:val="28"/>
          <w:lang w:val="uk-UA"/>
        </w:rPr>
        <w:t>Учасники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наукові, науково-педагогічні та педагогічні працівники, здобувачі вищої освіти, слухачі, фахівці-практики, які залучаються до освітнього процесу. </w:t>
      </w:r>
    </w:p>
    <w:p w:rsidR="00AE4ADC" w:rsidRDefault="00844BC7" w:rsidP="000A2BDC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принципами та фундаментальними цінностями академічної доброчесності та етики академічних взаємовідносин є: </w:t>
      </w:r>
    </w:p>
    <w:p w:rsidR="00AE4ADC" w:rsidRDefault="00AF48F3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чеснота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– відданість 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університетської спільноти 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>моральним принципам та стандартам, які створюют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ь бар’єр для </w:t>
      </w:r>
      <w:proofErr w:type="spellStart"/>
      <w:r w:rsidR="00AE4ADC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E4ADC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чесність та порядність – системне уникнення проявів академічної </w:t>
      </w:r>
      <w:proofErr w:type="spellStart"/>
      <w:r w:rsidRPr="00844BC7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під час реалізації власної діяльн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ості; </w:t>
      </w:r>
    </w:p>
    <w:p w:rsidR="00AE4ADC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>правдивість – прагнення до істини, вільне та відкрите поширення найкращих практик реалізації власної діяльності, їх безпе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>рервне надбання та збагачення;</w:t>
      </w:r>
    </w:p>
    <w:p w:rsidR="00AE4ADC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прозорість – доступність та відкритість інформації, яка передбачає, що всі 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університетської спільноти 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>зобов’язані діяти відкрито,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 та в рамках закону;</w:t>
      </w:r>
    </w:p>
    <w:p w:rsidR="00AF48F3" w:rsidRDefault="00AF48F3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підзвітність – представники університетської спільноти належним чином використовують надані (або делеговані) </w:t>
      </w:r>
      <w:r w:rsidR="00FD40D5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</w:t>
      </w:r>
      <w:r w:rsidR="00FD40D5">
        <w:rPr>
          <w:rFonts w:ascii="Times New Roman" w:hAnsi="Times New Roman" w:cs="Times New Roman"/>
          <w:sz w:val="28"/>
          <w:szCs w:val="28"/>
          <w:lang w:val="uk-UA"/>
        </w:rPr>
        <w:t>без перевищення або несумлінності виконання;</w:t>
      </w:r>
    </w:p>
    <w:p w:rsidR="00AE4ADC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законність – дотримання кожним учасником 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та співробітниками 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>законів т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>а стимулювання до цього інших;</w:t>
      </w:r>
    </w:p>
    <w:p w:rsidR="00AE4ADC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повага – повага до ідей, гідності інших, їхнього фізичного та психічного здоров’я, на благо колегіальності та співпраці з іншими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>представниками університетської спільноти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40D5" w:rsidRPr="00DE0C35" w:rsidRDefault="00844BC7" w:rsidP="00DE0C35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7BF">
        <w:rPr>
          <w:rFonts w:ascii="Times New Roman" w:hAnsi="Times New Roman" w:cs="Times New Roman"/>
          <w:i/>
          <w:sz w:val="28"/>
          <w:szCs w:val="28"/>
          <w:lang w:val="uk-UA"/>
        </w:rPr>
        <w:t>довіра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– усі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університетської спільноти 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мають впевненість в чесності та чесноті один одного, можуть покластись один на одного, позбавлені остраху, що результати діяльності можуть бути </w:t>
      </w:r>
      <w:proofErr w:type="spellStart"/>
      <w:r w:rsidRPr="00844BC7">
        <w:rPr>
          <w:rFonts w:ascii="Times New Roman" w:hAnsi="Times New Roman" w:cs="Times New Roman"/>
          <w:sz w:val="28"/>
          <w:szCs w:val="28"/>
          <w:lang w:val="uk-UA"/>
        </w:rPr>
        <w:t>несанкціоновано</w:t>
      </w:r>
      <w:proofErr w:type="spellEnd"/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запозиченими,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навчання спотворено, 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>кар’єру спап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>люжено, а репутацію підірвано;</w:t>
      </w:r>
    </w:p>
    <w:p w:rsidR="00AE4ADC" w:rsidRDefault="00FD40D5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мужність – </w:t>
      </w:r>
      <w:r w:rsidRPr="00FD40D5">
        <w:rPr>
          <w:rFonts w:ascii="Times New Roman" w:hAnsi="Times New Roman" w:cs="Times New Roman"/>
          <w:sz w:val="28"/>
          <w:szCs w:val="28"/>
          <w:lang w:val="uk-UA"/>
        </w:rPr>
        <w:t>схильність до послідовного</w:t>
      </w:r>
      <w:r w:rsidR="00844BC7" w:rsidRPr="00FD40D5">
        <w:rPr>
          <w:rFonts w:ascii="Times New Roman" w:hAnsi="Times New Roman" w:cs="Times New Roman"/>
          <w:sz w:val="28"/>
          <w:szCs w:val="28"/>
          <w:lang w:val="uk-UA"/>
        </w:rPr>
        <w:t xml:space="preserve"> відстоювання</w:t>
      </w:r>
      <w:r w:rsidR="00844BC7"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 гідної поведінки та ідей поширення принципів академічної доброчесності в несприятли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вих умовах стороннього тиску; </w:t>
      </w:r>
    </w:p>
    <w:p w:rsidR="00AE4ADC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справедливість – неупереджено однакове ставлення до усіх </w:t>
      </w:r>
      <w:r w:rsidR="00FD40D5">
        <w:rPr>
          <w:rFonts w:ascii="Times New Roman" w:hAnsi="Times New Roman" w:cs="Times New Roman"/>
          <w:sz w:val="28"/>
          <w:szCs w:val="28"/>
          <w:lang w:val="uk-UA"/>
        </w:rPr>
        <w:t>представників університетської спільноти</w:t>
      </w:r>
      <w:r w:rsidRPr="00844BC7">
        <w:rPr>
          <w:rFonts w:ascii="Times New Roman" w:hAnsi="Times New Roman" w:cs="Times New Roman"/>
          <w:sz w:val="28"/>
          <w:szCs w:val="28"/>
          <w:lang w:val="uk-UA"/>
        </w:rPr>
        <w:t>, позбавлен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>е дискримінації та нечесності</w:t>
      </w:r>
      <w:r w:rsidR="00FD40D5">
        <w:rPr>
          <w:rFonts w:ascii="Times New Roman" w:hAnsi="Times New Roman" w:cs="Times New Roman"/>
          <w:sz w:val="28"/>
          <w:szCs w:val="28"/>
          <w:lang w:val="uk-UA"/>
        </w:rPr>
        <w:t xml:space="preserve"> (незалежно від раси, кольору шкіри, політичних, релігійних та інших переконань, гендерної ідентичності, сексуальної орієнтації, етнічного, соціального, національного походження, стану здоров’я, особливих потреб (інвалідності)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307BF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BC7">
        <w:rPr>
          <w:rFonts w:ascii="Times New Roman" w:hAnsi="Times New Roman" w:cs="Times New Roman"/>
          <w:sz w:val="28"/>
          <w:szCs w:val="28"/>
          <w:lang w:val="uk-UA"/>
        </w:rPr>
        <w:t xml:space="preserve">самовдосконалення та вдосконалення – учасники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>освітнього проце</w:t>
      </w:r>
      <w:r w:rsidR="00FD40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4ADC">
        <w:rPr>
          <w:rFonts w:ascii="Times New Roman" w:hAnsi="Times New Roman" w:cs="Times New Roman"/>
          <w:sz w:val="28"/>
          <w:szCs w:val="28"/>
          <w:lang w:val="uk-UA"/>
        </w:rPr>
        <w:t xml:space="preserve"> визнають важливість та </w:t>
      </w:r>
      <w:r w:rsidRPr="00AE4ADC">
        <w:rPr>
          <w:rFonts w:ascii="Times New Roman" w:hAnsi="Times New Roman" w:cs="Times New Roman"/>
          <w:sz w:val="28"/>
          <w:szCs w:val="28"/>
          <w:lang w:val="uk-UA"/>
        </w:rPr>
        <w:t>докладають максимальних зусиль до постійного вдосконалення освітньої системи, зокрема через власний професійний розвиток;</w:t>
      </w:r>
    </w:p>
    <w:p w:rsidR="008307BF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AD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– вміння брати на себе відповідальність за результати своєї діяльності, виконувати взяті на себе певні зобов’язання, протистояти проявам академічної </w:t>
      </w:r>
      <w:proofErr w:type="spellStart"/>
      <w:r w:rsidRPr="00AE4ADC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AE4ADC">
        <w:rPr>
          <w:rFonts w:ascii="Times New Roman" w:hAnsi="Times New Roman" w:cs="Times New Roman"/>
          <w:sz w:val="28"/>
          <w:szCs w:val="28"/>
          <w:lang w:val="uk-UA"/>
        </w:rPr>
        <w:t>, подавати приклади гідної повед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інки; </w:t>
      </w:r>
    </w:p>
    <w:p w:rsidR="008307BF" w:rsidRDefault="00844BC7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ADC">
        <w:rPr>
          <w:rFonts w:ascii="Times New Roman" w:hAnsi="Times New Roman" w:cs="Times New Roman"/>
          <w:sz w:val="28"/>
          <w:szCs w:val="28"/>
          <w:lang w:val="uk-UA"/>
        </w:rPr>
        <w:t xml:space="preserve">сумлінність –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університетської спільноти </w:t>
      </w:r>
      <w:r w:rsidRPr="00AE4ADC">
        <w:rPr>
          <w:rFonts w:ascii="Times New Roman" w:hAnsi="Times New Roman" w:cs="Times New Roman"/>
          <w:sz w:val="28"/>
          <w:szCs w:val="28"/>
          <w:lang w:val="uk-UA"/>
        </w:rPr>
        <w:t>належним чином використовують делеговані їм повноваження без перевищення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 або несумлінності виконання;</w:t>
      </w:r>
    </w:p>
    <w:p w:rsidR="00844BC7" w:rsidRPr="00AE4ADC" w:rsidRDefault="008C5AC3" w:rsidP="000A2BDC">
      <w:pPr>
        <w:pStyle w:val="a3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компетентність та </w:t>
      </w:r>
      <w:r w:rsidR="00844BC7" w:rsidRPr="00AE4ADC">
        <w:rPr>
          <w:rFonts w:ascii="Times New Roman" w:hAnsi="Times New Roman" w:cs="Times New Roman"/>
          <w:sz w:val="28"/>
          <w:szCs w:val="28"/>
          <w:lang w:val="uk-UA"/>
        </w:rPr>
        <w:t xml:space="preserve">професіоналізм – підтримання високого рівня компетентності кожним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учасником освітнього процесу та 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>співробітником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, прагнення до втілення у власну діяльність модулі «освіти протягом життя»</w:t>
      </w:r>
      <w:r w:rsidR="008307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4BC7" w:rsidRPr="008466B1" w:rsidRDefault="00844BC7" w:rsidP="008307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7BF" w:rsidRPr="00B6621A" w:rsidRDefault="000C50EE" w:rsidP="002C06B2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21A">
        <w:rPr>
          <w:rFonts w:ascii="Times New Roman" w:hAnsi="Times New Roman" w:cs="Times New Roman"/>
          <w:sz w:val="28"/>
          <w:szCs w:val="28"/>
          <w:lang w:val="uk-UA"/>
        </w:rPr>
        <w:t>ВИМОГИ ЩОДО</w:t>
      </w:r>
      <w:r w:rsidR="000A2BDC" w:rsidRPr="00B6621A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АКАДЕМІЧНОЇ ДОБРОЧЕСНОСТІ</w:t>
      </w:r>
    </w:p>
    <w:p w:rsidR="000C50EE" w:rsidRPr="00D2229C" w:rsidRDefault="000C50EE" w:rsidP="000C50EE">
      <w:pPr>
        <w:pStyle w:val="a3"/>
        <w:tabs>
          <w:tab w:val="left" w:pos="1276"/>
          <w:tab w:val="left" w:pos="1560"/>
        </w:tabs>
        <w:ind w:left="432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71F1A" w:rsidRDefault="008307BF" w:rsidP="00C71F1A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F1A">
        <w:rPr>
          <w:rFonts w:ascii="Times New Roman" w:hAnsi="Times New Roman" w:cs="Times New Roman"/>
          <w:sz w:val="28"/>
          <w:szCs w:val="28"/>
          <w:lang w:val="uk-UA"/>
        </w:rPr>
        <w:t xml:space="preserve">Види порушень академічної доброчесності та </w:t>
      </w:r>
      <w:r w:rsidR="000A2BDC" w:rsidRPr="00C71F1A">
        <w:rPr>
          <w:rFonts w:ascii="Times New Roman" w:hAnsi="Times New Roman" w:cs="Times New Roman"/>
          <w:sz w:val="28"/>
          <w:szCs w:val="28"/>
          <w:lang w:val="uk-UA"/>
        </w:rPr>
        <w:t>етики академічних взаємовідносин:</w:t>
      </w:r>
    </w:p>
    <w:p w:rsidR="00777038" w:rsidRPr="00C71F1A" w:rsidRDefault="00777038" w:rsidP="00C71F1A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F1A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академічний плагіат - </w:t>
      </w:r>
      <w:r w:rsidR="00D83E9A" w:rsidRPr="00C71F1A">
        <w:rPr>
          <w:rFonts w:ascii="Times New Roman" w:hAnsi="Times New Roman" w:cs="Times New Roman"/>
          <w:sz w:val="28"/>
          <w:szCs w:val="28"/>
          <w:lang w:val="uk-UA"/>
        </w:rPr>
        <w:t>оприлюднення (частково або повністю) наукових результатів, отриманих іншими особами, як результатів власного дослідження та/або відтворення опублікованих текстів інших авторів без зазначення авторства;</w:t>
      </w:r>
    </w:p>
    <w:p w:rsidR="000A2BDC" w:rsidRDefault="008307BF" w:rsidP="000A2BDC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BDC">
        <w:rPr>
          <w:rFonts w:ascii="Times New Roman" w:hAnsi="Times New Roman" w:cs="Times New Roman"/>
          <w:sz w:val="28"/>
          <w:szCs w:val="28"/>
          <w:lang w:val="uk-UA"/>
        </w:rPr>
        <w:t>фабрикація – вигадування даних чи фактів, що використовуються у власній діяльності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університетської спільноти</w:t>
      </w:r>
      <w:r w:rsidRPr="000A2B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5AC3" w:rsidRDefault="008307BF" w:rsidP="000A2BDC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фальсифікація – свідома зміна чи модифікація вже наявних даних, що стосуються власної діяльності або діяльності інших 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>представників університетської спільноти</w:t>
      </w:r>
      <w:r w:rsidRPr="000A2BDC">
        <w:rPr>
          <w:rFonts w:ascii="Times New Roman" w:hAnsi="Times New Roman" w:cs="Times New Roman"/>
          <w:sz w:val="28"/>
          <w:szCs w:val="28"/>
          <w:lang w:val="uk-UA"/>
        </w:rPr>
        <w:t>, зокрема підробка підписів в офіційних документах</w:t>
      </w:r>
      <w:r w:rsidR="008C5A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5AC3" w:rsidRDefault="008C5AC3" w:rsidP="000A2BDC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порушення норм законодавства про авторське право та суміжні права;</w:t>
      </w:r>
    </w:p>
    <w:p w:rsidR="008C5AC3" w:rsidRDefault="008C5AC3" w:rsidP="008C5AC3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C3">
        <w:rPr>
          <w:rFonts w:ascii="Times New Roman" w:hAnsi="Times New Roman" w:cs="Times New Roman"/>
          <w:sz w:val="28"/>
          <w:szCs w:val="28"/>
          <w:lang w:val="uk-UA"/>
        </w:rPr>
        <w:t>приписування результатів колективної діяльності одній або окремим особам</w:t>
      </w:r>
      <w:r w:rsidR="008307BF"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</w:p>
    <w:p w:rsidR="008C5AC3" w:rsidRPr="008C5AC3" w:rsidRDefault="002C06B2" w:rsidP="008C5AC3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AC3" w:rsidRPr="008C5AC3">
        <w:rPr>
          <w:rFonts w:ascii="Times New Roman" w:hAnsi="Times New Roman" w:cs="Times New Roman"/>
          <w:sz w:val="28"/>
          <w:szCs w:val="28"/>
          <w:lang w:val="uk-UA"/>
        </w:rPr>
        <w:t>– оприлюднення (частково або повністю) власних раніше опублікованих наукових результатів як нових наукових результатів</w:t>
      </w:r>
    </w:p>
    <w:p w:rsidR="008C5AC3" w:rsidRDefault="008307BF" w:rsidP="008C5AC3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хабарництво – надання (отримання) 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представником університетської спільноти або  </w:t>
      </w:r>
      <w:r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щодо надання (отримання) коштів, майна, послуг, пільг чи будь-яких інших благ матеріального характеру  з метою отримання неправомірної переваги в 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>реалізації власної діяльності;</w:t>
      </w:r>
    </w:p>
    <w:p w:rsidR="008C5AC3" w:rsidRPr="008C5AC3" w:rsidRDefault="008307BF" w:rsidP="008C5AC3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C3">
        <w:rPr>
          <w:rFonts w:ascii="Times New Roman" w:hAnsi="Times New Roman" w:cs="Times New Roman"/>
          <w:sz w:val="28"/>
          <w:szCs w:val="28"/>
          <w:lang w:val="uk-UA"/>
        </w:rPr>
        <w:t>обман – надання завідомо неправдивої інформації щодо власної діяльності</w:t>
      </w:r>
      <w:r w:rsidR="000A2BDC" w:rsidRPr="008C5A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1F1A" w:rsidRDefault="008C5AC3" w:rsidP="00C71F1A">
      <w:pPr>
        <w:pStyle w:val="a3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C3">
        <w:rPr>
          <w:rFonts w:ascii="Times New Roman" w:hAnsi="Times New Roman" w:cs="Times New Roman"/>
          <w:sz w:val="28"/>
          <w:szCs w:val="28"/>
          <w:lang w:val="uk-UA"/>
        </w:rPr>
        <w:t xml:space="preserve">необ’єктивне оцінювання – свідоме завищення або заниження оцінки результатів навчання здобувачів освіти (виставлення балів за конспект, відвідування навчальних занять, віднімання балів, тощо). </w:t>
      </w:r>
    </w:p>
    <w:p w:rsidR="008C5AC3" w:rsidRPr="00C71F1A" w:rsidRDefault="008C5AC3" w:rsidP="00C71F1A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F1A">
        <w:rPr>
          <w:rFonts w:ascii="Times New Roman" w:hAnsi="Times New Roman" w:cs="Times New Roman"/>
          <w:sz w:val="28"/>
          <w:szCs w:val="28"/>
          <w:lang w:val="uk-UA"/>
        </w:rPr>
        <w:t xml:space="preserve">списування – виконання письмових робіт </w:t>
      </w:r>
      <w:r w:rsidR="00C71F1A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вищої освіти та слухачами </w:t>
      </w:r>
      <w:r w:rsidRPr="00C71F1A">
        <w:rPr>
          <w:rFonts w:ascii="Times New Roman" w:hAnsi="Times New Roman" w:cs="Times New Roman"/>
          <w:sz w:val="28"/>
          <w:szCs w:val="28"/>
          <w:lang w:val="uk-UA"/>
        </w:rPr>
        <w:t xml:space="preserve">із залученням зовнішніх джерел інформації, крім дозволених для використання, зокрема під час контролю результатів навчання; </w:t>
      </w:r>
    </w:p>
    <w:p w:rsidR="008C5AC3" w:rsidRDefault="008307BF" w:rsidP="008C5AC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C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родинних або службових зв’язків з метою отримання неправомірної переваги в </w:t>
      </w:r>
      <w:r w:rsidR="000A2BDC" w:rsidRPr="008C5AC3">
        <w:rPr>
          <w:rFonts w:ascii="Times New Roman" w:hAnsi="Times New Roman" w:cs="Times New Roman"/>
          <w:sz w:val="28"/>
          <w:szCs w:val="28"/>
          <w:lang w:val="uk-UA"/>
        </w:rPr>
        <w:t>реалізації власної діяльності;</w:t>
      </w:r>
    </w:p>
    <w:p w:rsidR="000A2BDC" w:rsidRPr="008C5AC3" w:rsidRDefault="008C5AC3" w:rsidP="008C5AC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C3">
        <w:rPr>
          <w:rFonts w:ascii="Times New Roman" w:hAnsi="Times New Roman" w:cs="Times New Roman"/>
          <w:sz w:val="28"/>
          <w:szCs w:val="28"/>
          <w:lang w:val="uk-UA"/>
        </w:rPr>
        <w:t>надання недостовірної інформації про результати власної навчальної (наукової, творчої) діяльності, використані методики досліджень і джерела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власну науково-педагогічну та навчальну діяльність;</w:t>
      </w:r>
    </w:p>
    <w:p w:rsidR="000A2BDC" w:rsidRDefault="008307BF" w:rsidP="008C5AC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академічний саботаж – завдання шкоди, псування, затримка або непотрібне ускладнення 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та інших співробітників Університету</w:t>
      </w:r>
      <w:r w:rsidRPr="008307BF">
        <w:rPr>
          <w:rFonts w:ascii="Times New Roman" w:hAnsi="Times New Roman" w:cs="Times New Roman"/>
          <w:sz w:val="28"/>
          <w:szCs w:val="28"/>
          <w:lang w:val="uk-UA"/>
        </w:rPr>
        <w:t>, навмисне знищення даних тощо;</w:t>
      </w:r>
    </w:p>
    <w:p w:rsidR="000A2BDC" w:rsidRDefault="008307BF" w:rsidP="008C5AC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7BF">
        <w:rPr>
          <w:rFonts w:ascii="Times New Roman" w:hAnsi="Times New Roman" w:cs="Times New Roman"/>
          <w:sz w:val="28"/>
          <w:szCs w:val="28"/>
          <w:lang w:val="uk-UA"/>
        </w:rPr>
        <w:t>вчинення дій в умовах р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 xml:space="preserve">еального конфлікту інтересів;  </w:t>
      </w:r>
    </w:p>
    <w:p w:rsidR="000A2BDC" w:rsidRDefault="008307BF" w:rsidP="008C5AC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7BF">
        <w:rPr>
          <w:rFonts w:ascii="Times New Roman" w:hAnsi="Times New Roman" w:cs="Times New Roman"/>
          <w:sz w:val="28"/>
          <w:szCs w:val="28"/>
          <w:lang w:val="uk-UA"/>
        </w:rPr>
        <w:t>ігнорування передбачуваних порушень академічної доброчесності іншими особами, або вчинення дій, спрямованих на приховування порушення;</w:t>
      </w:r>
    </w:p>
    <w:p w:rsidR="000A2BDC" w:rsidRDefault="008307BF" w:rsidP="00C71F1A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7BF">
        <w:rPr>
          <w:rFonts w:ascii="Times New Roman" w:hAnsi="Times New Roman" w:cs="Times New Roman"/>
          <w:sz w:val="28"/>
          <w:szCs w:val="28"/>
          <w:lang w:val="uk-UA"/>
        </w:rPr>
        <w:t>використання шантажу;</w:t>
      </w:r>
    </w:p>
    <w:p w:rsidR="000A2BDC" w:rsidRDefault="008307BF" w:rsidP="000A2BDC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BDC">
        <w:rPr>
          <w:rFonts w:ascii="Times New Roman" w:hAnsi="Times New Roman" w:cs="Times New Roman"/>
          <w:sz w:val="28"/>
          <w:szCs w:val="28"/>
          <w:lang w:val="uk-UA"/>
        </w:rPr>
        <w:t>зловмис</w:t>
      </w:r>
      <w:r w:rsidR="000A2BDC">
        <w:rPr>
          <w:rFonts w:ascii="Times New Roman" w:hAnsi="Times New Roman" w:cs="Times New Roman"/>
          <w:sz w:val="28"/>
          <w:szCs w:val="28"/>
          <w:lang w:val="uk-UA"/>
        </w:rPr>
        <w:t>не звинувачення іншого представника</w:t>
      </w:r>
      <w:r w:rsidR="000A2BDC"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університетської спільноти </w:t>
      </w:r>
      <w:r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в скоєнні порушення принципів академічної доброчесності. </w:t>
      </w:r>
    </w:p>
    <w:p w:rsidR="008307BF" w:rsidRDefault="008307BF" w:rsidP="000A2BDC">
      <w:pPr>
        <w:tabs>
          <w:tab w:val="left" w:pos="851"/>
          <w:tab w:val="left" w:pos="1560"/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BDC">
        <w:rPr>
          <w:rFonts w:ascii="Times New Roman" w:hAnsi="Times New Roman" w:cs="Times New Roman"/>
          <w:sz w:val="28"/>
          <w:szCs w:val="28"/>
          <w:lang w:val="uk-UA"/>
        </w:rPr>
        <w:t xml:space="preserve">Наведений перелік не є остаточно вичерпним і не охоплює всіх діянь, що можуть містити ознаки порушення академічної доброчесності та етики академічних взаємовідносин.  </w:t>
      </w:r>
    </w:p>
    <w:p w:rsidR="007F6E6A" w:rsidRDefault="007F6E6A" w:rsidP="00486A9F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допускається під час провадження освітньої та наукової діяльності вчинення учасниками освітнього процесу та співробітниками Університету дій, наслідком яких буде порушення академічної доброчесності, зокрема:</w:t>
      </w:r>
    </w:p>
    <w:p w:rsidR="00486A9F" w:rsidRPr="00680997" w:rsidRDefault="00F12C33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в інших осіб чи організацій з наступним поданням як власних </w:t>
      </w: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творів, робіт; </w:t>
      </w:r>
    </w:p>
    <w:p w:rsidR="00F12C33" w:rsidRDefault="00F12C33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>Надання відгуків або рецензій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наукові та навчальні роботи без належного проведення їх експертизи;</w:t>
      </w:r>
    </w:p>
    <w:p w:rsidR="008307BF" w:rsidRDefault="00F12C33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Включення до списку авторів навчальних, наукових та інших видань або виконавців проектів осіб, які не брали участь у їх підготовці (написанні) та в отриманні результатів;</w:t>
      </w:r>
    </w:p>
    <w:p w:rsidR="00F12C33" w:rsidRDefault="00F12C33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переваг у навчальній,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позанавчальній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науковій чи адміністративній сфері через непотизм, перевищення повноважень, використання родинних зв’язків, хабарництво, шантаж тощо;</w:t>
      </w:r>
    </w:p>
    <w:p w:rsidR="00F12C33" w:rsidRDefault="00F12C33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на результати анкетування здобувачів вищої освіти та слухачів, співробітників Університету;</w:t>
      </w:r>
    </w:p>
    <w:p w:rsidR="00F12C33" w:rsidRDefault="00F12C33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під час проведення заходів з оцінювання результатів навчання допоміжних матеріалів (шпаргалок, конспектів, підручників тощо</w:t>
      </w:r>
      <w:r w:rsidR="00C311BA">
        <w:rPr>
          <w:rFonts w:ascii="Times New Roman" w:hAnsi="Times New Roman" w:cs="Times New Roman"/>
          <w:sz w:val="28"/>
          <w:szCs w:val="28"/>
          <w:lang w:val="uk-UA"/>
        </w:rPr>
        <w:t>) та технічних засобів (</w:t>
      </w:r>
      <w:proofErr w:type="spellStart"/>
      <w:r w:rsidR="00C311BA">
        <w:rPr>
          <w:rFonts w:ascii="Times New Roman" w:hAnsi="Times New Roman" w:cs="Times New Roman"/>
          <w:sz w:val="28"/>
          <w:szCs w:val="28"/>
          <w:lang w:val="uk-UA"/>
        </w:rPr>
        <w:t>мікронавушників</w:t>
      </w:r>
      <w:proofErr w:type="spellEnd"/>
      <w:r w:rsidR="00C311BA">
        <w:rPr>
          <w:rFonts w:ascii="Times New Roman" w:hAnsi="Times New Roman" w:cs="Times New Roman"/>
          <w:sz w:val="28"/>
          <w:szCs w:val="28"/>
          <w:lang w:val="uk-UA"/>
        </w:rPr>
        <w:t xml:space="preserve">, телефонів, </w:t>
      </w:r>
      <w:proofErr w:type="spellStart"/>
      <w:r w:rsidR="00C311BA">
        <w:rPr>
          <w:rFonts w:ascii="Times New Roman" w:hAnsi="Times New Roman" w:cs="Times New Roman"/>
          <w:sz w:val="28"/>
          <w:szCs w:val="28"/>
          <w:lang w:val="uk-UA"/>
        </w:rPr>
        <w:t>смартфонів</w:t>
      </w:r>
      <w:proofErr w:type="spellEnd"/>
      <w:r w:rsidR="00C311BA">
        <w:rPr>
          <w:rFonts w:ascii="Times New Roman" w:hAnsi="Times New Roman" w:cs="Times New Roman"/>
          <w:sz w:val="28"/>
          <w:szCs w:val="28"/>
          <w:lang w:val="uk-UA"/>
        </w:rPr>
        <w:t xml:space="preserve">, планшетів, 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>комп’ютерів</w:t>
      </w:r>
      <w:r w:rsidR="00C311BA">
        <w:rPr>
          <w:rFonts w:ascii="Times New Roman" w:hAnsi="Times New Roman" w:cs="Times New Roman"/>
          <w:sz w:val="28"/>
          <w:szCs w:val="28"/>
          <w:lang w:val="uk-UA"/>
        </w:rPr>
        <w:t xml:space="preserve"> тощо)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виключення</w:t>
      </w:r>
      <w:r w:rsidR="00C311B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навчальної літератури при здійсненні заходів з оцінювання у форматі </w:t>
      </w:r>
      <w:r w:rsidRPr="00F12C3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openbook</w:t>
      </w:r>
      <w:r w:rsidRPr="00F12C33">
        <w:rPr>
          <w:rFonts w:ascii="Times New Roman" w:hAnsi="Times New Roman" w:cs="Times New Roman"/>
          <w:sz w:val="28"/>
          <w:szCs w:val="28"/>
          <w:lang w:val="uk-UA"/>
        </w:rPr>
        <w:t xml:space="preserve">”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12C33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takehome</w:t>
      </w:r>
      <w:r w:rsidRPr="00F12C3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C311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Проходження процедур контролю знань підставними особами;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Симуляція погіршення стану 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>, хвороби з метою уникнення участі в контрольних заходах оцінювання результатів навчання у призначений час;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Здавання та репрезентація роботи зі змістом, який повторює зміст роботи іншого (інших) учасників освітнього процесу;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Підміна варіанту завдань на контрольних заходах, надання відповідей на питання завдань, які дісталися іншому здобувачеві вищої совіти чи слухачеві;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Презентація(подання) результатів колективної співпраці як індивідуальних власних;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Вчинення дій, направлених на попереднє та незаконне ознайомлення зі змістом матеріалів контрольних заходів з оцінювання знань;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Примушування до благодійних внесків та примусова під загрозою завдати шкоди інтересам та правам особи в навчальній, викладацькій  та науковій діяльності;</w:t>
      </w:r>
    </w:p>
    <w:p w:rsidR="00C311BA" w:rsidRDefault="00C311BA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Маніпулювання авторством або зневага до ролі інших дослідників в публікаціях;</w:t>
      </w:r>
    </w:p>
    <w:p w:rsidR="006801BF" w:rsidRDefault="006801BF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спонсорам можливості впливу на незалежність дослідницького процесу, повідомлення про результати таким чином. Щоб сформувати чи поширити упереджене уявлення про дослідження;</w:t>
      </w:r>
    </w:p>
    <w:p w:rsidR="00C311BA" w:rsidRDefault="006801BF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Зазначення в  бібліографії досліджень (списку використаних джерел) тих джерел, які не були опрацьовані особисто автором під час дослідження чи виконання навчальної роботи;  </w:t>
      </w:r>
    </w:p>
    <w:p w:rsidR="006801BF" w:rsidRDefault="006801BF" w:rsidP="00F12C33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Перебільшення важливості та практичної значущості результатів досліджень;</w:t>
      </w:r>
    </w:p>
    <w:p w:rsidR="006801BF" w:rsidRDefault="006801BF" w:rsidP="006801BF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або підтримка журналів та видавництв, які 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>підривають інститут наукового дослідництва («хижацьких»</w:t>
      </w:r>
      <w:r w:rsidR="00D2229C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журналів та</w:t>
      </w:r>
      <w:r w:rsidR="00D2229C">
        <w:rPr>
          <w:rFonts w:ascii="Times New Roman" w:hAnsi="Times New Roman" w:cs="Times New Roman"/>
          <w:sz w:val="28"/>
          <w:szCs w:val="28"/>
          <w:lang w:val="uk-UA"/>
        </w:rPr>
        <w:t xml:space="preserve"> видавництв);</w:t>
      </w:r>
    </w:p>
    <w:p w:rsidR="006801BF" w:rsidRDefault="006801BF" w:rsidP="006801BF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1BF">
        <w:rPr>
          <w:rFonts w:ascii="Times New Roman" w:hAnsi="Times New Roman" w:cs="Times New Roman"/>
          <w:sz w:val="28"/>
          <w:szCs w:val="28"/>
          <w:lang w:val="uk-UA"/>
        </w:rPr>
        <w:t xml:space="preserve">Сприяння академічній </w:t>
      </w:r>
      <w:proofErr w:type="spellStart"/>
      <w:r w:rsidRPr="006801BF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6801BF">
        <w:rPr>
          <w:rFonts w:ascii="Times New Roman" w:hAnsi="Times New Roman" w:cs="Times New Roman"/>
          <w:sz w:val="28"/>
          <w:szCs w:val="28"/>
          <w:lang w:val="uk-UA"/>
        </w:rPr>
        <w:t xml:space="preserve"> – свідомо</w:t>
      </w:r>
      <w:r>
        <w:rPr>
          <w:rFonts w:ascii="Times New Roman" w:hAnsi="Times New Roman" w:cs="Times New Roman"/>
          <w:sz w:val="28"/>
          <w:szCs w:val="28"/>
          <w:lang w:val="uk-UA"/>
        </w:rPr>
        <w:t>, навмисно</w:t>
      </w:r>
      <w:r w:rsidRPr="006801BF">
        <w:rPr>
          <w:rFonts w:ascii="Times New Roman" w:hAnsi="Times New Roman" w:cs="Times New Roman"/>
          <w:sz w:val="28"/>
          <w:szCs w:val="28"/>
          <w:lang w:val="uk-UA"/>
        </w:rPr>
        <w:t xml:space="preserve"> допомагати чи намагатися допомогти іншому вчинити </w:t>
      </w:r>
      <w:r>
        <w:rPr>
          <w:rFonts w:ascii="Times New Roman" w:hAnsi="Times New Roman" w:cs="Times New Roman"/>
          <w:sz w:val="28"/>
          <w:szCs w:val="28"/>
          <w:lang w:val="uk-UA"/>
        </w:rPr>
        <w:t>дію, що містить ознаки</w:t>
      </w:r>
      <w:r w:rsidRPr="006801BF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01BF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добро</w:t>
      </w:r>
      <w:r w:rsidRPr="006801BF">
        <w:rPr>
          <w:rFonts w:ascii="Times New Roman" w:hAnsi="Times New Roman" w:cs="Times New Roman"/>
          <w:sz w:val="28"/>
          <w:szCs w:val="28"/>
          <w:lang w:val="uk-UA"/>
        </w:rPr>
        <w:t>чесності</w:t>
      </w:r>
      <w:proofErr w:type="spellEnd"/>
      <w:r w:rsidR="00D222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229C" w:rsidRPr="006801BF" w:rsidRDefault="00D2229C" w:rsidP="006801BF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Порушення, невиконання дисциплінарних покарань (санкцій), які накладені у відповідності до даного Кодексу. </w:t>
      </w:r>
    </w:p>
    <w:p w:rsidR="00D2229C" w:rsidRDefault="006801BF" w:rsidP="00D2229C">
      <w:pPr>
        <w:tabs>
          <w:tab w:val="left" w:pos="851"/>
          <w:tab w:val="left" w:pos="1560"/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Наданий перелік не є вичерпним та не охоплює всіх дій, що можуть містити ознаки порушення академічної доброчесності.</w:t>
      </w:r>
    </w:p>
    <w:p w:rsidR="00D2229C" w:rsidRDefault="00BD12A2" w:rsidP="00D2229C">
      <w:pPr>
        <w:pStyle w:val="a3"/>
        <w:numPr>
          <w:ilvl w:val="1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</w:t>
      </w:r>
      <w:r w:rsidR="00D2229C">
        <w:rPr>
          <w:rFonts w:ascii="Times New Roman" w:hAnsi="Times New Roman" w:cs="Times New Roman"/>
          <w:sz w:val="28"/>
          <w:szCs w:val="28"/>
          <w:lang w:val="uk-UA"/>
        </w:rPr>
        <w:t>щодо дій, які є або можуть призвести до порушення академічної доброчесності.</w:t>
      </w:r>
    </w:p>
    <w:p w:rsidR="00D2229C" w:rsidRPr="00D2229C" w:rsidRDefault="00D2229C" w:rsidP="00D2229C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представник університетської спільноти несе моральну відповідальність (але не юридичне зобов’язання, якщо інше не передбачено нормативними документами) інформувати щодо підозривчинення дій, які є порушенням академічної доброчесності ш</w:t>
      </w:r>
      <w:r w:rsidRPr="00D2229C">
        <w:rPr>
          <w:rFonts w:ascii="Times New Roman" w:hAnsi="Times New Roman" w:cs="Times New Roman"/>
          <w:sz w:val="28"/>
          <w:szCs w:val="28"/>
          <w:lang w:val="uk-UA"/>
        </w:rPr>
        <w:t>ляхом:</w:t>
      </w:r>
    </w:p>
    <w:p w:rsidR="00D2229C" w:rsidRDefault="00D2229C" w:rsidP="00CC382B">
      <w:pPr>
        <w:pStyle w:val="a3"/>
        <w:numPr>
          <w:ilvl w:val="3"/>
          <w:numId w:val="4"/>
        </w:numPr>
        <w:tabs>
          <w:tab w:val="left" w:pos="851"/>
          <w:tab w:val="left" w:pos="184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29C">
        <w:rPr>
          <w:rFonts w:ascii="Times New Roman" w:hAnsi="Times New Roman" w:cs="Times New Roman"/>
          <w:sz w:val="28"/>
          <w:szCs w:val="28"/>
          <w:lang w:val="uk-UA"/>
        </w:rPr>
        <w:t>переговорів  з особою (особами), яку підозрює у вчиненні таких дій та заохочення її до самостійного повідомлення про такі дії;</w:t>
      </w:r>
    </w:p>
    <w:p w:rsidR="00CC382B" w:rsidRDefault="00D2229C" w:rsidP="00CC382B">
      <w:pPr>
        <w:pStyle w:val="a3"/>
        <w:numPr>
          <w:ilvl w:val="3"/>
          <w:numId w:val="4"/>
        </w:numPr>
        <w:tabs>
          <w:tab w:val="left" w:pos="851"/>
          <w:tab w:val="left" w:pos="184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викладача ( у випадку прояву академічної </w:t>
      </w:r>
      <w:proofErr w:type="spellStart"/>
      <w:r w:rsidRPr="00CC382B">
        <w:rPr>
          <w:rFonts w:ascii="Times New Roman" w:hAnsi="Times New Roman" w:cs="Times New Roman"/>
          <w:sz w:val="28"/>
          <w:szCs w:val="28"/>
          <w:lang w:val="uk-UA"/>
        </w:rPr>
        <w:t>недо</w:t>
      </w:r>
      <w:r w:rsidR="00BD12A2" w:rsidRPr="00CC382B">
        <w:rPr>
          <w:rFonts w:ascii="Times New Roman" w:hAnsi="Times New Roman" w:cs="Times New Roman"/>
          <w:sz w:val="28"/>
          <w:szCs w:val="28"/>
          <w:lang w:val="uk-UA"/>
        </w:rPr>
        <w:t>брочесності</w:t>
      </w:r>
      <w:proofErr w:type="spellEnd"/>
      <w:r w:rsidR="00BD12A2"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 іншими здобувачами вищої ос</w:t>
      </w:r>
      <w:r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віти) або адміністрацію </w:t>
      </w:r>
      <w:r w:rsidR="00BD12A2" w:rsidRPr="00CC382B">
        <w:rPr>
          <w:rFonts w:ascii="Times New Roman" w:hAnsi="Times New Roman" w:cs="Times New Roman"/>
          <w:sz w:val="28"/>
          <w:szCs w:val="28"/>
          <w:lang w:val="uk-UA"/>
        </w:rPr>
        <w:t>(у випадку вчинення дій співробітником університету);</w:t>
      </w:r>
    </w:p>
    <w:p w:rsidR="00BD12A2" w:rsidRPr="00CC382B" w:rsidRDefault="002C06B2" w:rsidP="00CC382B">
      <w:pPr>
        <w:pStyle w:val="a3"/>
        <w:numPr>
          <w:ilvl w:val="3"/>
          <w:numId w:val="4"/>
        </w:numPr>
        <w:tabs>
          <w:tab w:val="left" w:pos="851"/>
          <w:tab w:val="left" w:pos="184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BD12A2"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 до Комісії з академічної доброчесності;</w:t>
      </w:r>
    </w:p>
    <w:p w:rsidR="00A23918" w:rsidRDefault="00A23918" w:rsidP="00BD12A2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отриманні інформації згідно з п. 2.3.1.2. даного Кодексу поінформована особа може ініціювати складання протоколу про вчинення порушення, який має бути підписаний як мінімум трьома особами, які засвідчать факт такого порушення.  Даний протокол направляється на розгляд Комісії з академічної доброчесності. Особа, яка отримала інформацію про порушення академічної доброчесності, може  звернутися до Комісії з академічної доброчесності з</w:t>
      </w:r>
      <w:r w:rsidR="004C2B20">
        <w:rPr>
          <w:rFonts w:ascii="Times New Roman" w:hAnsi="Times New Roman" w:cs="Times New Roman"/>
          <w:sz w:val="28"/>
          <w:szCs w:val="28"/>
          <w:lang w:val="uk-UA"/>
        </w:rPr>
        <w:t>і зв</w:t>
      </w:r>
      <w:r w:rsidR="002C06B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C2B20">
        <w:rPr>
          <w:rFonts w:ascii="Times New Roman" w:hAnsi="Times New Roman" w:cs="Times New Roman"/>
          <w:sz w:val="28"/>
          <w:szCs w:val="28"/>
          <w:lang w:val="uk-UA"/>
        </w:rPr>
        <w:t>рненням.</w:t>
      </w:r>
    </w:p>
    <w:p w:rsidR="00BD12A2" w:rsidRDefault="00BD12A2" w:rsidP="00BD12A2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Визнання власної провини представником університетської спільноти шляхом заяви може бути взято до уваги при визначенні покарання (санкцій) за порушення академічної доброчесності.</w:t>
      </w:r>
    </w:p>
    <w:p w:rsidR="00BD12A2" w:rsidRDefault="00BD12A2" w:rsidP="00BD12A2">
      <w:pPr>
        <w:pStyle w:val="a3"/>
        <w:tabs>
          <w:tab w:val="left" w:pos="851"/>
          <w:tab w:val="left" w:pos="1560"/>
          <w:tab w:val="left" w:pos="1843"/>
        </w:tabs>
        <w:ind w:left="17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82B" w:rsidRDefault="00B6621A" w:rsidP="002C06B2">
      <w:pPr>
        <w:pStyle w:val="a3"/>
        <w:numPr>
          <w:ilvl w:val="0"/>
          <w:numId w:val="4"/>
        </w:numPr>
        <w:tabs>
          <w:tab w:val="left" w:pos="851"/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(САНКЦІЇ</w:t>
      </w:r>
      <w:r w:rsidR="00CC382B">
        <w:rPr>
          <w:rFonts w:ascii="Times New Roman" w:hAnsi="Times New Roman" w:cs="Times New Roman"/>
          <w:sz w:val="28"/>
          <w:szCs w:val="28"/>
          <w:lang w:val="uk-UA"/>
        </w:rPr>
        <w:t>) ЗА ПОРУШЕННЯ АКАДЕМІЧНОЇ ДОБРОЧЕСНОСТІ</w:t>
      </w:r>
    </w:p>
    <w:p w:rsidR="00CC382B" w:rsidRDefault="00CC382B" w:rsidP="00CC382B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82B" w:rsidRDefault="00CC382B" w:rsidP="00A23918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виявлення фактів порушення академічної доброчесності</w:t>
      </w:r>
      <w:r w:rsidR="00A23918">
        <w:rPr>
          <w:rFonts w:ascii="Times New Roman" w:hAnsi="Times New Roman" w:cs="Times New Roman"/>
          <w:sz w:val="28"/>
          <w:szCs w:val="28"/>
          <w:lang w:val="uk-UA"/>
        </w:rPr>
        <w:t>, підтверджених Комісією з академічної доброчесності, передбачаються такі санкції:</w:t>
      </w:r>
    </w:p>
    <w:p w:rsidR="00ED1DEA" w:rsidRDefault="00A23918" w:rsidP="00A23918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918">
        <w:rPr>
          <w:rFonts w:ascii="Times New Roman" w:hAnsi="Times New Roman" w:cs="Times New Roman"/>
          <w:sz w:val="28"/>
          <w:szCs w:val="28"/>
          <w:lang w:val="uk-UA"/>
        </w:rPr>
        <w:t xml:space="preserve">Якщо дії,  що призвели до порушення академічної доброчесності , які визначені у пп. </w:t>
      </w:r>
      <w:r w:rsidR="00ED1DEA">
        <w:rPr>
          <w:rFonts w:ascii="Times New Roman" w:hAnsi="Times New Roman" w:cs="Times New Roman"/>
          <w:sz w:val="28"/>
          <w:szCs w:val="28"/>
          <w:lang w:val="uk-UA"/>
        </w:rPr>
        <w:t>2.2.1, 2.2.6, 2.2.8, 2.2.9, 2.2.10, 2.2.11, 2.2.12, 2.2.16, 2.2.19</w:t>
      </w:r>
      <w:r w:rsidRPr="00A23918">
        <w:rPr>
          <w:rFonts w:ascii="Times New Roman" w:hAnsi="Times New Roman" w:cs="Times New Roman"/>
          <w:sz w:val="28"/>
          <w:szCs w:val="28"/>
          <w:lang w:val="uk-UA"/>
        </w:rPr>
        <w:t xml:space="preserve"> даного Кодексу, вчинено вперше,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</w:t>
      </w:r>
      <w:r w:rsidR="00ED1DEA">
        <w:rPr>
          <w:rFonts w:ascii="Times New Roman" w:hAnsi="Times New Roman" w:cs="Times New Roman"/>
          <w:sz w:val="28"/>
          <w:szCs w:val="28"/>
          <w:lang w:val="uk-UA"/>
        </w:rPr>
        <w:t xml:space="preserve">здобувач вищої освіти або слухач відсторонюється від участі в контрольних заходах з оцінювання успішності з отриманням 0 балів або отримує 0 балів за представлений твір (роботу), завдання. </w:t>
      </w:r>
    </w:p>
    <w:p w:rsidR="00ED1DEA" w:rsidRPr="00680997" w:rsidRDefault="00ED1DEA" w:rsidP="00ED1DEA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Якщо дії,  що призвели до порушення академічної доброчесності, які визначені у пп. 2.2.1, 2.2.6, 2.2.8, 2.2.9, 2.2.10, 2.2.11, 2.2.12, 2.2.16, 2.2.19 даного Кодексу, вчинено повторно протягом семестру,то здобувач вищої освіти або слухач отримує 0 балів за поточну успішність. Якщо ж ці дії зафіксовано повторно під час екзаменаційної сесії, 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або вчинено вперше  дію, зазначену у п. 2.2.1 або п. 2.2.7, </w:t>
      </w:r>
      <w:r w:rsidRPr="00680997">
        <w:rPr>
          <w:rFonts w:ascii="Times New Roman" w:hAnsi="Times New Roman" w:cs="Times New Roman"/>
          <w:sz w:val="28"/>
          <w:szCs w:val="28"/>
          <w:lang w:val="uk-UA"/>
        </w:rPr>
        <w:t>то здобувач вищої освіти або слухач отримує оцінку незадовільно без права перескладання іспиту</w:t>
      </w:r>
      <w:r w:rsidR="004C2B20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>не допускається до захисту дипломної роботи чи дисертації на здобуття наукового ступеня.</w:t>
      </w:r>
    </w:p>
    <w:p w:rsidR="00A23918" w:rsidRDefault="00ED1DEA" w:rsidP="00A23918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Якщо співробітник Університету 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вчинив порушення, вказане у п. 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>2.2.1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-2.2.5, 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>2.2.11, 2.2.13-2.2.19</w:t>
      </w:r>
      <w:r w:rsidR="008A5581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даного Кодексу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то він позбавляється права 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бути потенційним учасником або керівником 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експертних та 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>проектних груп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>, позбавляється права керувати дипломними та науковими роботами студентів</w:t>
      </w:r>
      <w:r w:rsidR="004C2B20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на термін від 12 місяців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Комісія з академічної доброчесності доводить до безпосереднього керівника даного співробітника дане рішення, який надає звіт з його виконання Ректорові Університету. </w:t>
      </w:r>
      <w:r w:rsidR="006B774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участі даного співробітника в наукових проектах за кошти держбюджету, грантових проектах, або консалтингових  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проектах за </w:t>
      </w:r>
      <w:r w:rsidR="004C2B20" w:rsidRPr="00680997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 xml:space="preserve"> сторонніх організацій в Університеті або </w:t>
      </w:r>
      <w:r w:rsidR="004C2B20" w:rsidRPr="00680997">
        <w:rPr>
          <w:rFonts w:ascii="Times New Roman" w:hAnsi="Times New Roman" w:cs="Times New Roman"/>
          <w:sz w:val="28"/>
          <w:szCs w:val="28"/>
          <w:lang w:val="uk-UA"/>
        </w:rPr>
        <w:t>Науковому парку Університету</w:t>
      </w:r>
      <w:r w:rsidR="003E0BEF" w:rsidRPr="00680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0BEF">
        <w:rPr>
          <w:rFonts w:ascii="Times New Roman" w:hAnsi="Times New Roman" w:cs="Times New Roman"/>
          <w:sz w:val="28"/>
          <w:szCs w:val="28"/>
          <w:lang w:val="uk-UA"/>
        </w:rPr>
        <w:t xml:space="preserve"> в період, в якому було встановлено порушення академічної доброчесності, даний співробітник має бути виведений зі складу учасників таких проектів, про що видається наказ.  </w:t>
      </w:r>
    </w:p>
    <w:p w:rsidR="008A5581" w:rsidRPr="008A5581" w:rsidRDefault="008A5581" w:rsidP="00DF2AA9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81">
        <w:rPr>
          <w:rFonts w:ascii="Times New Roman" w:hAnsi="Times New Roman" w:cs="Times New Roman"/>
          <w:sz w:val="28"/>
          <w:szCs w:val="28"/>
          <w:lang w:val="uk-UA"/>
        </w:rPr>
        <w:t xml:space="preserve">Якщо співробітник вчиняє повторно порушення, вказане у п. 2.2.1-2.2.5, 2.2.11, 2.2.13-2.2.19, то він отримує попередження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те, що не може бути рекомендований до участі в конкурсі на заміщення вакантних посад науково-педагогічних працівників або про неможливість продовження контракту. </w:t>
      </w:r>
    </w:p>
    <w:p w:rsidR="00CB210D" w:rsidRDefault="00CB210D" w:rsidP="00CB210D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виявлення плагіату в творах та роботах </w:t>
      </w:r>
      <w:r w:rsidR="00013AEF">
        <w:rPr>
          <w:rFonts w:ascii="Times New Roman" w:hAnsi="Times New Roman" w:cs="Times New Roman"/>
          <w:sz w:val="28"/>
          <w:szCs w:val="28"/>
          <w:lang w:val="uk-UA"/>
        </w:rPr>
        <w:t>здійснюється перевірка на наявність плагіату та визначення ступеня оригінальності тексту роботи, порядок проведення якої регулюється окремим 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="00013AE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CB210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запобігання та виявлення академічного плагіату</w:t>
      </w:r>
      <w:r w:rsidR="00013AEF">
        <w:rPr>
          <w:rFonts w:ascii="Times New Roman" w:hAnsi="Times New Roman" w:cs="Times New Roman"/>
          <w:sz w:val="28"/>
          <w:szCs w:val="28"/>
          <w:lang w:val="uk-UA"/>
        </w:rPr>
        <w:t>. У залежності від результатів перевірки на плагіат до здобувачів вищої освіти Університету застосовуються санкції, які викладені в зазначеному Положенні.</w:t>
      </w:r>
    </w:p>
    <w:p w:rsidR="00A23918" w:rsidRPr="008A5581" w:rsidRDefault="008A5581" w:rsidP="008A5581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81">
        <w:rPr>
          <w:rFonts w:ascii="Times New Roman" w:hAnsi="Times New Roman" w:cs="Times New Roman"/>
          <w:sz w:val="28"/>
          <w:szCs w:val="28"/>
          <w:lang w:val="uk-UA"/>
        </w:rPr>
        <w:t>Дії, в яких наявні ознаки порушення академічної доброчесності та етики академічних взаємовідносин можуть також бути підставою для притягнення особи до дисциплінарної, цивільно-правової, адміністративної, кримінальної відповідальності у випадках та порядку, встановлених законодавством. Притягнення особи до відповідальності за порушення академічної доброчесності та етики академічних взаємовідносин може здійснюватися незалежно від притягнення її до інших видів відповідальності.</w:t>
      </w:r>
    </w:p>
    <w:p w:rsidR="00CC382B" w:rsidRDefault="00CC382B" w:rsidP="00BD12A2">
      <w:pPr>
        <w:pStyle w:val="a3"/>
        <w:tabs>
          <w:tab w:val="left" w:pos="851"/>
          <w:tab w:val="left" w:pos="1560"/>
          <w:tab w:val="left" w:pos="1843"/>
        </w:tabs>
        <w:ind w:left="17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2A2" w:rsidRDefault="00BD12A2" w:rsidP="00A22BDD">
      <w:pPr>
        <w:pStyle w:val="a3"/>
        <w:numPr>
          <w:ilvl w:val="0"/>
          <w:numId w:val="4"/>
        </w:numPr>
        <w:tabs>
          <w:tab w:val="left" w:pos="851"/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2A2">
        <w:rPr>
          <w:rFonts w:ascii="Times New Roman" w:hAnsi="Times New Roman" w:cs="Times New Roman"/>
          <w:sz w:val="28"/>
          <w:szCs w:val="28"/>
          <w:lang w:val="uk-UA"/>
        </w:rPr>
        <w:t xml:space="preserve">КОМІСІЯ 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АКАДЕМІЧНОЇ ДОБРОЧЕСНОСТІ</w:t>
      </w:r>
    </w:p>
    <w:p w:rsidR="000469CE" w:rsidRDefault="000469CE" w:rsidP="000469CE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2A2" w:rsidRDefault="00BD12A2" w:rsidP="00BD12A2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 з питань академічної доброчесності (далі – Комісія) – це незалежний орган, який складається з </w:t>
      </w:r>
      <w:r w:rsidR="009830C5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процесу, що діє в Університеті з метою забезпечення моніторингу дотримання представниками уніве</w:t>
      </w:r>
      <w:r w:rsidR="004C2B20">
        <w:rPr>
          <w:rFonts w:ascii="Times New Roman" w:hAnsi="Times New Roman" w:cs="Times New Roman"/>
          <w:sz w:val="28"/>
          <w:szCs w:val="28"/>
          <w:lang w:val="uk-UA"/>
        </w:rPr>
        <w:t>рситетської спільноти положень ць</w:t>
      </w:r>
      <w:r w:rsidR="009830C5">
        <w:rPr>
          <w:rFonts w:ascii="Times New Roman" w:hAnsi="Times New Roman" w:cs="Times New Roman"/>
          <w:sz w:val="28"/>
          <w:szCs w:val="28"/>
          <w:lang w:val="uk-UA"/>
        </w:rPr>
        <w:t>ого Кодексу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визначення санкцій за порушення академічної доброчесності</w:t>
      </w:r>
      <w:r w:rsidR="0039039D">
        <w:rPr>
          <w:rFonts w:ascii="Times New Roman" w:hAnsi="Times New Roman" w:cs="Times New Roman"/>
          <w:sz w:val="28"/>
          <w:szCs w:val="28"/>
          <w:lang w:val="uk-UA"/>
        </w:rPr>
        <w:t>. Склад</w:t>
      </w:r>
      <w:r w:rsidR="00817458">
        <w:rPr>
          <w:rFonts w:ascii="Times New Roman" w:hAnsi="Times New Roman" w:cs="Times New Roman"/>
          <w:sz w:val="28"/>
          <w:szCs w:val="28"/>
          <w:lang w:val="uk-UA"/>
        </w:rPr>
        <w:t>, повноваження</w:t>
      </w:r>
      <w:r w:rsidR="009830C5">
        <w:rPr>
          <w:rFonts w:ascii="Times New Roman" w:hAnsi="Times New Roman" w:cs="Times New Roman"/>
          <w:sz w:val="28"/>
          <w:szCs w:val="28"/>
          <w:lang w:val="uk-UA"/>
        </w:rPr>
        <w:t xml:space="preserve">і діяльність Комісії визначаються відповідними нормативними документами, які погоджуються з органами студентського самоврядування та </w:t>
      </w:r>
      <w:r w:rsidR="004C2B20">
        <w:rPr>
          <w:rFonts w:ascii="Times New Roman" w:hAnsi="Times New Roman" w:cs="Times New Roman"/>
          <w:sz w:val="28"/>
          <w:szCs w:val="28"/>
          <w:lang w:val="uk-UA"/>
        </w:rPr>
        <w:t>Радою трудового колективу</w:t>
      </w:r>
      <w:r w:rsidR="00390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0EE" w:rsidRDefault="0039039D" w:rsidP="00BD12A2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 трудового колективу </w:t>
      </w:r>
      <w:r w:rsidR="009830C5">
        <w:rPr>
          <w:rFonts w:ascii="Times New Roman" w:hAnsi="Times New Roman" w:cs="Times New Roman"/>
          <w:sz w:val="28"/>
          <w:szCs w:val="28"/>
          <w:lang w:val="uk-UA"/>
        </w:rPr>
        <w:t xml:space="preserve">обирає голосуванням відповідно до процедур основний склад Комісії у кількості  5 осіб терміном </w:t>
      </w:r>
      <w:r w:rsidR="009830C5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30E4B" w:rsidRPr="001B1706">
        <w:rPr>
          <w:rFonts w:ascii="Times New Roman" w:hAnsi="Times New Roman" w:cs="Times New Roman"/>
          <w:sz w:val="28"/>
          <w:szCs w:val="28"/>
          <w:lang w:val="uk-UA"/>
        </w:rPr>
        <w:t>три роки</w:t>
      </w:r>
      <w:r w:rsidR="009830C5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. Члени Комісії обирають з поміж себе Голову комісії. </w:t>
      </w:r>
      <w:r w:rsidR="000C50EE" w:rsidRPr="001B170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Комісії належить кваліфікація дій, щодо яких отримано заяви, звернення,</w:t>
      </w:r>
      <w:r w:rsidR="00A23918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протоколи,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 як порушень академічної доброчесності або </w:t>
      </w:r>
      <w:r w:rsidR="00A23918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таких порушень та визначення санкцій (відповідальності) у випадку, якщо порушення академічної доброчесності було встановлено. </w:t>
      </w:r>
    </w:p>
    <w:p w:rsidR="00817458" w:rsidRDefault="000C50EE" w:rsidP="00B03ECD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Комісія у власній діяльності при встановленні фактів академічної </w:t>
      </w:r>
      <w:proofErr w:type="spellStart"/>
      <w:r w:rsidRPr="00CC382B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визначення міри покарання (санкцій) керується даним Кодексом (щодо видів порушень та відповідальності (санкцій)</w:t>
      </w:r>
      <w:r w:rsidR="00CC382B" w:rsidRPr="00CC38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30C5" w:rsidRPr="00CC382B" w:rsidRDefault="009830C5" w:rsidP="00B03ECD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82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17458">
        <w:rPr>
          <w:rFonts w:ascii="Times New Roman" w:hAnsi="Times New Roman" w:cs="Times New Roman"/>
          <w:sz w:val="28"/>
          <w:szCs w:val="28"/>
          <w:lang w:val="uk-UA"/>
        </w:rPr>
        <w:t xml:space="preserve">ля розгляду окремих звернень </w:t>
      </w:r>
      <w:r w:rsidRPr="00CC382B">
        <w:rPr>
          <w:rFonts w:ascii="Times New Roman" w:hAnsi="Times New Roman" w:cs="Times New Roman"/>
          <w:sz w:val="28"/>
          <w:szCs w:val="28"/>
          <w:lang w:val="uk-UA"/>
        </w:rPr>
        <w:t>можуть формуватися тимчасові робочі групи, які володіють спеціальним знаннями  щодо предмету розгляду та можуть провести експертизу для підтвердження чи спростування наявності порушення академічної доброчесності. За потреби до роботи Комісії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82B">
        <w:rPr>
          <w:rFonts w:ascii="Times New Roman" w:hAnsi="Times New Roman" w:cs="Times New Roman"/>
          <w:sz w:val="28"/>
          <w:szCs w:val="28"/>
          <w:lang w:val="uk-UA"/>
        </w:rPr>
        <w:t xml:space="preserve">можуть залучатися професійні юристи. </w:t>
      </w:r>
    </w:p>
    <w:p w:rsidR="009830C5" w:rsidRPr="00CC382B" w:rsidRDefault="009830C5" w:rsidP="00CC382B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приймає рішення на основі наданих експертних висновків робочої групи за процедурами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82B">
        <w:rPr>
          <w:rFonts w:ascii="Times New Roman" w:hAnsi="Times New Roman" w:cs="Times New Roman"/>
          <w:sz w:val="28"/>
          <w:szCs w:val="28"/>
          <w:lang w:val="uk-UA"/>
        </w:rPr>
        <w:t>та регламентами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визначаються в </w:t>
      </w:r>
      <w:r w:rsidR="00CC38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окремому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Положенні про Комісію з питань академічної доброчесності</w:t>
      </w:r>
      <w:r w:rsidR="00CC382B">
        <w:rPr>
          <w:rFonts w:ascii="Times New Roman" w:hAnsi="Times New Roman" w:cs="Times New Roman"/>
          <w:sz w:val="28"/>
          <w:szCs w:val="28"/>
          <w:lang w:val="uk-UA"/>
        </w:rPr>
        <w:t>, яке затверджується Вченою радою Університету.</w:t>
      </w:r>
    </w:p>
    <w:p w:rsidR="009830C5" w:rsidRDefault="009830C5" w:rsidP="00BD12A2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 </w:t>
      </w:r>
      <w:r w:rsidR="00530E4B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</w:t>
      </w:r>
      <w:r w:rsidR="00CC382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протягом періоду, на який вона була обрана,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0EE">
        <w:rPr>
          <w:rFonts w:ascii="Times New Roman" w:hAnsi="Times New Roman" w:cs="Times New Roman"/>
          <w:sz w:val="28"/>
          <w:szCs w:val="28"/>
          <w:lang w:val="uk-UA"/>
        </w:rPr>
        <w:t xml:space="preserve">перед Конференцією трудового колективу. </w:t>
      </w:r>
    </w:p>
    <w:p w:rsidR="00CC382B" w:rsidRDefault="00CC382B" w:rsidP="00CC382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65F" w:rsidRDefault="00B6621A" w:rsidP="00A22BDD">
      <w:pPr>
        <w:pStyle w:val="a3"/>
        <w:numPr>
          <w:ilvl w:val="0"/>
          <w:numId w:val="4"/>
        </w:numPr>
        <w:tabs>
          <w:tab w:val="left" w:pos="851"/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21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ПРОЦЕСОМ </w:t>
      </w:r>
      <w:r w:rsidR="0039039D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АКАДЕМІЧНОЇ </w:t>
      </w:r>
      <w:r w:rsidR="009B465F">
        <w:rPr>
          <w:rFonts w:ascii="Times New Roman" w:hAnsi="Times New Roman" w:cs="Times New Roman"/>
          <w:sz w:val="28"/>
          <w:szCs w:val="28"/>
          <w:lang w:val="uk-UA"/>
        </w:rPr>
        <w:t>ДОБРОЧЕСНОСТІ</w:t>
      </w:r>
    </w:p>
    <w:p w:rsidR="0039039D" w:rsidRDefault="0039039D" w:rsidP="0039039D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F89" w:rsidRPr="001B1706" w:rsidRDefault="00F72F89" w:rsidP="00543F00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процесом дотримання академічної доброчесності на </w:t>
      </w:r>
      <w:proofErr w:type="spellStart"/>
      <w:r w:rsidRPr="001B1706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загальноуніверситетському</w:t>
      </w:r>
      <w:proofErr w:type="spellEnd"/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рівні здійснює</w:t>
      </w:r>
      <w:r w:rsidR="00A22BDD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1A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перший проректор, 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який координує роботу групи сприяння академічній доброчесності (далі Група). </w:t>
      </w:r>
    </w:p>
    <w:p w:rsidR="00F72F89" w:rsidRDefault="00F72F89" w:rsidP="00F72F89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F8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процесом дотримання академічної доброчесності в освітній діяльності закладу вищої освіти та інформування здобувачів вищої освіти і співробітників закладу вищої освіти про неприпустимість порушення академічної доброчесності, а також реалізація заходів щодо запобігання проявам академічної 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 xml:space="preserve">не доброчесності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Pr="00F72F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4357" w:rsidRPr="00544357" w:rsidRDefault="00F72F89" w:rsidP="00F72F89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F89">
        <w:rPr>
          <w:rFonts w:ascii="Times New Roman" w:hAnsi="Times New Roman" w:cs="Times New Roman"/>
          <w:sz w:val="28"/>
          <w:szCs w:val="28"/>
          <w:lang w:val="uk-UA"/>
        </w:rPr>
        <w:t>в частині дотримання принципів академічної доброчесності здобувачами вищої освіти на першому та другому рівнях –</w:t>
      </w:r>
      <w:r w:rsidR="00544357" w:rsidRPr="00544357">
        <w:rPr>
          <w:rFonts w:ascii="&amp;quot" w:eastAsia="Times New Roman" w:hAnsi="&amp;quot" w:cs="Times New Roman"/>
          <w:bCs/>
          <w:iCs/>
          <w:color w:val="333333"/>
          <w:sz w:val="28"/>
          <w:szCs w:val="28"/>
          <w:lang w:val="uk-UA" w:eastAsia="ru-RU"/>
        </w:rPr>
        <w:t>навчально-науковим центром організації освітнього та виховного процесу;</w:t>
      </w:r>
    </w:p>
    <w:p w:rsidR="00543F00" w:rsidRPr="002C6805" w:rsidRDefault="00F72F89" w:rsidP="00543F00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805">
        <w:rPr>
          <w:rFonts w:ascii="Times New Roman" w:hAnsi="Times New Roman" w:cs="Times New Roman"/>
          <w:sz w:val="28"/>
          <w:szCs w:val="28"/>
          <w:lang w:val="uk-UA"/>
        </w:rPr>
        <w:t xml:space="preserve">в частині дотримання принципів академічної доброчесності здобувачами вищої освіти на третьому та четвертому рівнях – відділом докторантури та аспірантури. </w:t>
      </w:r>
    </w:p>
    <w:p w:rsidR="00543F00" w:rsidRPr="002C6805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5">
        <w:rPr>
          <w:rFonts w:ascii="Times New Roman" w:hAnsi="Times New Roman" w:cs="Times New Roman"/>
          <w:sz w:val="28"/>
          <w:szCs w:val="28"/>
          <w:lang w:val="uk-UA"/>
        </w:rPr>
        <w:t xml:space="preserve">в частині дотримання принципів академічної доброчесності   при взаємодії учасників освітнього процесу, інших співробітників Університету  - </w:t>
      </w:r>
      <w:r w:rsidR="002C6805" w:rsidRPr="002C6805">
        <w:rPr>
          <w:rFonts w:ascii="Times New Roman" w:hAnsi="Times New Roman" w:cs="Times New Roman"/>
          <w:sz w:val="28"/>
          <w:szCs w:val="28"/>
          <w:lang w:val="uk-UA"/>
        </w:rPr>
        <w:t>здійснює проректор з</w:t>
      </w:r>
      <w:r w:rsidR="002C6805" w:rsidRPr="002C68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науково-педагогічної діяльності та</w:t>
      </w:r>
      <w:r w:rsidR="002C6805" w:rsidRPr="00A22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інноваційного </w:t>
      </w:r>
      <w:r w:rsidR="002C6805" w:rsidRPr="002C6805">
        <w:rPr>
          <w:rFonts w:ascii="Times New Roman" w:hAnsi="Times New Roman" w:cs="Times New Roman"/>
          <w:bCs/>
          <w:sz w:val="28"/>
          <w:szCs w:val="28"/>
          <w:lang w:val="uk-UA"/>
        </w:rPr>
        <w:t>розвитку</w:t>
      </w:r>
      <w:r w:rsidR="00544357" w:rsidRPr="002C680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6621A" w:rsidRDefault="00F72F89" w:rsidP="00543F00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процесом дотримання принципів академічної доброчесності при реалізації всіх напрямів наукової 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>діяльності здійснює проректор з</w:t>
      </w:r>
      <w:r w:rsidR="00A22BDD" w:rsidRPr="00A22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науково-педагогічної діяльності та інноваційного розвитку</w:t>
      </w:r>
    </w:p>
    <w:p w:rsidR="00543F00" w:rsidRDefault="00F72F89" w:rsidP="00543F00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дотриманням академічної доброчесності, реалізацію заходів щодо запобігання проявам академічної </w:t>
      </w:r>
      <w:proofErr w:type="spellStart"/>
      <w:r w:rsidRPr="00543F00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при здійсненні окремих напрямів наукової діяльності проводиться в частині: </w:t>
      </w:r>
    </w:p>
    <w:p w:rsidR="00543F00" w:rsidRDefault="00F72F89" w:rsidP="00543F00">
      <w:pPr>
        <w:tabs>
          <w:tab w:val="left" w:pos="851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 діяльності наукових журналів університету; </w:t>
      </w:r>
    </w:p>
    <w:p w:rsidR="00543F00" w:rsidRDefault="00F72F89" w:rsidP="00543F00">
      <w:pPr>
        <w:tabs>
          <w:tab w:val="left" w:pos="851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> проведення університетських заходів наукового, науково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методичного і іншого спрямування (конференції, семінари тощо); </w:t>
      </w:r>
    </w:p>
    <w:p w:rsidR="00543F00" w:rsidRDefault="00F72F89" w:rsidP="00543F00">
      <w:pPr>
        <w:tabs>
          <w:tab w:val="left" w:pos="851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 проведення захистів дисертацій на здобуття наукових ступенів; </w:t>
      </w:r>
    </w:p>
    <w:p w:rsidR="00543F00" w:rsidRDefault="00F72F89" w:rsidP="00543F00">
      <w:pPr>
        <w:tabs>
          <w:tab w:val="left" w:pos="851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> захисту прав інтелектуальної власності;</w:t>
      </w:r>
    </w:p>
    <w:p w:rsidR="00543F00" w:rsidRDefault="00F72F89" w:rsidP="00543F00">
      <w:pPr>
        <w:tabs>
          <w:tab w:val="left" w:pos="851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 виконання науково-дослідних робіт, </w:t>
      </w:r>
      <w:r w:rsidR="00543F00">
        <w:rPr>
          <w:rFonts w:ascii="Times New Roman" w:hAnsi="Times New Roman" w:cs="Times New Roman"/>
          <w:sz w:val="28"/>
          <w:szCs w:val="28"/>
          <w:lang w:val="uk-UA"/>
        </w:rPr>
        <w:t xml:space="preserve">консалтингових проектів, аналітичної діяльності, 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>що фінансуються за рахунок державного та/або місцевих бюджетів</w:t>
      </w:r>
      <w:r w:rsidR="00543F00">
        <w:rPr>
          <w:rFonts w:ascii="Times New Roman" w:hAnsi="Times New Roman" w:cs="Times New Roman"/>
          <w:sz w:val="28"/>
          <w:szCs w:val="28"/>
          <w:lang w:val="uk-UA"/>
        </w:rPr>
        <w:t xml:space="preserve"> або за рахунок грантів, коштів організацій та приватних осіб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3F00" w:rsidRPr="001B1706" w:rsidRDefault="00F72F89" w:rsidP="00C87ADD">
      <w:pPr>
        <w:tabs>
          <w:tab w:val="left" w:pos="851"/>
          <w:tab w:val="left" w:pos="156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Функцію контролю здійснюють відповідні структурні підрозділи, які 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підпорядковані проректору з </w:t>
      </w:r>
      <w:r w:rsidR="00A22BDD" w:rsidRPr="001B1706">
        <w:rPr>
          <w:rFonts w:ascii="Times New Roman" w:hAnsi="Times New Roman" w:cs="Times New Roman"/>
          <w:bCs/>
          <w:sz w:val="28"/>
          <w:szCs w:val="28"/>
          <w:lang w:val="uk-UA"/>
        </w:rPr>
        <w:t>науково-педагогічної діяльності та інноваційного розвитку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39ED" w:rsidRPr="001B1706" w:rsidRDefault="00F72F89" w:rsidP="00C87ADD">
      <w:pPr>
        <w:pStyle w:val="a3"/>
        <w:numPr>
          <w:ilvl w:val="2"/>
          <w:numId w:val="4"/>
        </w:numPr>
        <w:tabs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процесом дотримання академічної доброчесності з покладанням контролюючої </w:t>
      </w:r>
      <w:r w:rsidR="008A39ED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функції в науково-навчальних </w:t>
      </w:r>
      <w:r w:rsidR="00A22BDD" w:rsidRPr="001B1706">
        <w:rPr>
          <w:rFonts w:ascii="Times New Roman" w:hAnsi="Times New Roman" w:cs="Times New Roman"/>
          <w:sz w:val="28"/>
          <w:szCs w:val="28"/>
          <w:lang w:val="uk-UA"/>
        </w:rPr>
        <w:t>інститутах</w:t>
      </w:r>
      <w:r w:rsidR="008A39ED" w:rsidRPr="001B1706">
        <w:rPr>
          <w:rFonts w:ascii="Times New Roman" w:hAnsi="Times New Roman" w:cs="Times New Roman"/>
          <w:sz w:val="28"/>
          <w:szCs w:val="28"/>
          <w:lang w:val="uk-UA"/>
        </w:rPr>
        <w:t>, коледжах здійснюють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A39ED" w:rsidRPr="001B1706" w:rsidRDefault="00F72F89" w:rsidP="008A39ED">
      <w:pPr>
        <w:pStyle w:val="a3"/>
        <w:numPr>
          <w:ilvl w:val="3"/>
          <w:numId w:val="4"/>
        </w:numPr>
        <w:tabs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706">
        <w:rPr>
          <w:rFonts w:ascii="Times New Roman" w:hAnsi="Times New Roman" w:cs="Times New Roman"/>
          <w:sz w:val="28"/>
          <w:szCs w:val="28"/>
          <w:lang w:val="uk-UA"/>
        </w:rPr>
        <w:t>з питань дотримання академічної добр</w:t>
      </w:r>
      <w:r w:rsidR="008A39ED" w:rsidRPr="001B1706">
        <w:rPr>
          <w:rFonts w:ascii="Times New Roman" w:hAnsi="Times New Roman" w:cs="Times New Roman"/>
          <w:sz w:val="28"/>
          <w:szCs w:val="28"/>
          <w:lang w:val="uk-UA"/>
        </w:rPr>
        <w:t>очесності в освітньому процесі, науковій роботі та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з інших питань, пов’язаних з дотриманням принципів академічної доброчесності (окрім наукової діяльності) –</w:t>
      </w:r>
      <w:r w:rsidR="008A39ED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(декана); </w:t>
      </w:r>
    </w:p>
    <w:p w:rsidR="008A39ED" w:rsidRDefault="008A39ED" w:rsidP="008A39ED">
      <w:pPr>
        <w:pStyle w:val="a3"/>
        <w:numPr>
          <w:ilvl w:val="3"/>
          <w:numId w:val="4"/>
        </w:numPr>
        <w:tabs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70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F89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опуляризація принципів академічної доброчесності, інформування здобувачів вищої освіти про неприпустимість порушення принципів академічної доброчесності та реалізація заходів щодо запобігання проявам академічної </w:t>
      </w:r>
      <w:proofErr w:type="spellStart"/>
      <w:r w:rsidR="00F72F89" w:rsidRPr="001B1706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="00F72F89"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тому числі 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>органом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F89" w:rsidRPr="008A39ED">
        <w:rPr>
          <w:rFonts w:ascii="Times New Roman" w:hAnsi="Times New Roman" w:cs="Times New Roman"/>
          <w:sz w:val="28"/>
          <w:szCs w:val="28"/>
          <w:lang w:val="uk-UA"/>
        </w:rPr>
        <w:t>сту</w:t>
      </w:r>
      <w:r>
        <w:rPr>
          <w:rFonts w:ascii="Times New Roman" w:hAnsi="Times New Roman" w:cs="Times New Roman"/>
          <w:sz w:val="28"/>
          <w:szCs w:val="28"/>
          <w:lang w:val="uk-UA"/>
        </w:rPr>
        <w:t>дентського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</w:t>
      </w:r>
      <w:r w:rsidR="00F72F89"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, науковим товариством студентів (слухачів), аспірантів, докторантів і молодих вчених. </w:t>
      </w:r>
    </w:p>
    <w:p w:rsidR="00F72F89" w:rsidRPr="008A39ED" w:rsidRDefault="00F72F89" w:rsidP="008A39ED">
      <w:pPr>
        <w:pStyle w:val="a3"/>
        <w:numPr>
          <w:ilvl w:val="3"/>
          <w:numId w:val="4"/>
        </w:numPr>
        <w:tabs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>Інформаційно-технологічна діяльність щодо популяризації принципів академічної доброчесності, основ інформаційної грамотності та роботи з базами даних здійснюється бібліотекою.</w:t>
      </w:r>
    </w:p>
    <w:p w:rsidR="00543F00" w:rsidRDefault="00543F00" w:rsidP="00F72F89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ADD" w:rsidRDefault="00C87ADD" w:rsidP="00F72F89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F00" w:rsidRDefault="00543F00" w:rsidP="00A22BDD">
      <w:pPr>
        <w:pStyle w:val="a3"/>
        <w:numPr>
          <w:ilvl w:val="0"/>
          <w:numId w:val="4"/>
        </w:numPr>
        <w:tabs>
          <w:tab w:val="left" w:pos="851"/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СПРИЯННЯ ДОТРИМАННЯ АКАДЕМІЧНОЇ ДОБРОЧЕСНОСТІ</w:t>
      </w:r>
    </w:p>
    <w:p w:rsidR="00C87ADD" w:rsidRPr="00543F00" w:rsidRDefault="00C87ADD" w:rsidP="00C87ADD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F00" w:rsidRDefault="00543F00" w:rsidP="00543F00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академічній доброчесності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створюється з метою 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дотриманню академічної доброчесності та етики академічних взаємовідносин в освітній та науковій діяльності закладу вищої освіти. </w:t>
      </w:r>
    </w:p>
    <w:p w:rsidR="00543F00" w:rsidRDefault="00543F00" w:rsidP="00543F00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Група керується чинним законодавством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внутрішньою 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нормативною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Університету.</w:t>
      </w:r>
    </w:p>
    <w:p w:rsidR="00543F00" w:rsidRDefault="00543F00" w:rsidP="00543F00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завданнями Групи є: </w:t>
      </w:r>
    </w:p>
    <w:p w:rsidR="00543F00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координація дотримання академічної доброчесності та етики академічних взаємовідносин як елементу внутрішньої системи забезпечення якості освітньої діяльності та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а також наукової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 Університеті;</w:t>
      </w:r>
    </w:p>
    <w:p w:rsidR="0059754D" w:rsidRPr="001B1706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 вдосконалення нормативної та інформаційної бази Університету, яка описує систему та механізми сприяння принципам академічної доброчесності та етики академічних взаємовідносин, механізми 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запобігання, виявлення та процедуру розгляду випадків порушення академічної доброчесності в </w:t>
      </w:r>
      <w:proofErr w:type="spellStart"/>
      <w:r w:rsidRPr="001B1706">
        <w:rPr>
          <w:rFonts w:ascii="Times New Roman" w:hAnsi="Times New Roman" w:cs="Times New Roman"/>
          <w:sz w:val="28"/>
          <w:szCs w:val="28"/>
          <w:lang w:val="uk-UA"/>
        </w:rPr>
        <w:t>освітньо-науковій</w:t>
      </w:r>
      <w:proofErr w:type="spellEnd"/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  <w:r w:rsidR="0059754D" w:rsidRPr="001B1706">
        <w:rPr>
          <w:rFonts w:ascii="Times New Roman" w:hAnsi="Times New Roman" w:cs="Times New Roman"/>
          <w:sz w:val="28"/>
          <w:szCs w:val="28"/>
          <w:lang w:val="uk-UA"/>
        </w:rPr>
        <w:t>льності закладу вищої освіти;</w:t>
      </w:r>
    </w:p>
    <w:p w:rsidR="0059754D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популяризація дотримання академічної доброчесності та етики академічних взаємовідносин як одного з основоположних принципів </w:t>
      </w:r>
      <w:proofErr w:type="spellStart"/>
      <w:r w:rsidR="0059754D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освітньо-наукової</w:t>
      </w:r>
      <w:proofErr w:type="spellEnd"/>
      <w:r w:rsidR="0059754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Університету 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вищої освіти, а також педагогічними, науково-педагогічними, науковими працівниками та іншими категоріями співробітників під час </w:t>
      </w:r>
      <w:proofErr w:type="spellStart"/>
      <w:r w:rsidRPr="00543F00">
        <w:rPr>
          <w:rFonts w:ascii="Times New Roman" w:hAnsi="Times New Roman" w:cs="Times New Roman"/>
          <w:sz w:val="28"/>
          <w:szCs w:val="28"/>
          <w:lang w:val="uk-UA"/>
        </w:rPr>
        <w:t>освітньо-наукової</w:t>
      </w:r>
      <w:proofErr w:type="spellEnd"/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виконання своїх посадових обов’язків; </w:t>
      </w:r>
    </w:p>
    <w:p w:rsidR="0059754D" w:rsidRPr="001B1706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контролю дотримання академічної доброчесності та етики академічних взаємовідносин в </w:t>
      </w:r>
      <w:proofErr w:type="spellStart"/>
      <w:r w:rsidRPr="001B1706">
        <w:rPr>
          <w:rFonts w:ascii="Times New Roman" w:hAnsi="Times New Roman" w:cs="Times New Roman"/>
          <w:sz w:val="28"/>
          <w:szCs w:val="28"/>
          <w:lang w:val="uk-UA"/>
        </w:rPr>
        <w:t>освітньо-науковій</w:t>
      </w:r>
      <w:proofErr w:type="spellEnd"/>
      <w:r w:rsidRPr="001B170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1B1706" w:rsidRPr="001B1706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1B1706">
        <w:rPr>
          <w:rFonts w:ascii="Times New Roman" w:hAnsi="Times New Roman" w:cs="Times New Roman"/>
          <w:sz w:val="28"/>
          <w:szCs w:val="28"/>
          <w:lang w:val="uk-UA"/>
        </w:rPr>
        <w:t>, у тому числі при оприлюдненні академічних текстів;</w:t>
      </w:r>
    </w:p>
    <w:p w:rsidR="0059754D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впровадженню у закладі вищої освіти сучасних технологій боротьби з проявами академічної </w:t>
      </w:r>
      <w:proofErr w:type="spellStart"/>
      <w:r w:rsidRPr="00543F00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ефективної системи запобігання та виявлення академічного плагіату в роботах здобувачів вищої освіти та співробітників закладу вищої освіти; </w:t>
      </w:r>
    </w:p>
    <w:p w:rsidR="0059754D" w:rsidRDefault="00543F00" w:rsidP="00543F00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дієвих </w:t>
      </w:r>
      <w:r w:rsidR="0059754D">
        <w:rPr>
          <w:rFonts w:ascii="Times New Roman" w:hAnsi="Times New Roman" w:cs="Times New Roman"/>
          <w:sz w:val="28"/>
          <w:szCs w:val="28"/>
          <w:lang w:val="uk-UA"/>
        </w:rPr>
        <w:t xml:space="preserve">механізмів залучення всіх </w:t>
      </w:r>
      <w:proofErr w:type="spellStart"/>
      <w:r w:rsidR="0059754D">
        <w:rPr>
          <w:rFonts w:ascii="Times New Roman" w:hAnsi="Times New Roman" w:cs="Times New Roman"/>
          <w:sz w:val="28"/>
          <w:szCs w:val="28"/>
          <w:lang w:val="uk-UA"/>
        </w:rPr>
        <w:t>стейкг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>олдерів</w:t>
      </w:r>
      <w:proofErr w:type="spellEnd"/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3F00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 w:rsidR="005975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>наукової</w:t>
      </w:r>
      <w:proofErr w:type="spellEnd"/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A22BDD" w:rsidRPr="00543F00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(ректор та адміністрація, група забезпечення освітніх програм, співробітники, здобувачі вищої освіти, випускники, роботодавці) до популяризації академічної доброчесності в </w:t>
      </w:r>
      <w:proofErr w:type="spellStart"/>
      <w:r w:rsidRPr="00543F00">
        <w:rPr>
          <w:rFonts w:ascii="Times New Roman" w:hAnsi="Times New Roman" w:cs="Times New Roman"/>
          <w:sz w:val="28"/>
          <w:szCs w:val="28"/>
          <w:lang w:val="uk-UA"/>
        </w:rPr>
        <w:t>освітньо-науковому</w:t>
      </w:r>
      <w:proofErr w:type="spellEnd"/>
      <w:r w:rsidRPr="00543F00">
        <w:rPr>
          <w:rFonts w:ascii="Times New Roman" w:hAnsi="Times New Roman" w:cs="Times New Roman"/>
          <w:sz w:val="28"/>
          <w:szCs w:val="28"/>
          <w:lang w:val="uk-UA"/>
        </w:rPr>
        <w:t xml:space="preserve"> процесі. </w:t>
      </w:r>
    </w:p>
    <w:p w:rsidR="0059754D" w:rsidRDefault="00543F00" w:rsidP="0059754D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00">
        <w:rPr>
          <w:rFonts w:ascii="Times New Roman" w:hAnsi="Times New Roman" w:cs="Times New Roman"/>
          <w:sz w:val="28"/>
          <w:szCs w:val="28"/>
          <w:lang w:val="uk-UA"/>
        </w:rPr>
        <w:t>Відповідно до основних завдань функціями Групи є:</w:t>
      </w:r>
    </w:p>
    <w:p w:rsidR="0059754D" w:rsidRDefault="00543F00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54D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Pr="0059754D">
        <w:rPr>
          <w:rFonts w:ascii="Times New Roman" w:hAnsi="Times New Roman" w:cs="Times New Roman"/>
          <w:sz w:val="28"/>
          <w:szCs w:val="28"/>
          <w:lang w:val="uk-UA"/>
        </w:rPr>
        <w:t>популяризаційних</w:t>
      </w:r>
      <w:proofErr w:type="spellEnd"/>
      <w:r w:rsidRPr="0059754D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інформаційно-технологічних заходів (тренінгів, семінарів, відкритих лекцій, навчальних модулів з академічного  письма та дотримання принципів академічної доброчесності та етики академічних взаємовідносин тощо);</w:t>
      </w:r>
    </w:p>
    <w:p w:rsidR="0059754D" w:rsidRDefault="0059754D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та </w:t>
      </w:r>
      <w:r w:rsidR="00543F00" w:rsidRPr="0059754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функціонування ефективної університетської системи забезпечення академічної доброчесності, а також системи запобігання та виявлення академічного плагіату в навчальних та наукових роботах здобувачів вищої освіти і співробітників закладу вищої освіти; </w:t>
      </w:r>
    </w:p>
    <w:p w:rsidR="0059754D" w:rsidRDefault="00543F00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54D">
        <w:rPr>
          <w:rFonts w:ascii="Times New Roman" w:hAnsi="Times New Roman" w:cs="Times New Roman"/>
          <w:sz w:val="28"/>
          <w:szCs w:val="28"/>
          <w:lang w:val="uk-UA"/>
        </w:rPr>
        <w:t>моніторинг та опитування щодо випадків порушення академічної доброчесності здобувачами вищої освіти і співробі</w:t>
      </w:r>
      <w:r w:rsidR="0059754D">
        <w:rPr>
          <w:rFonts w:ascii="Times New Roman" w:hAnsi="Times New Roman" w:cs="Times New Roman"/>
          <w:sz w:val="28"/>
          <w:szCs w:val="28"/>
          <w:lang w:val="uk-UA"/>
        </w:rPr>
        <w:t>тниками закладу вищої освіти;</w:t>
      </w:r>
    </w:p>
    <w:p w:rsidR="0059754D" w:rsidRDefault="00543F00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54D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періодичних відкритих звітів щодо рівня дотримання принципів академічної доброчесності та етики академічних взаємовідносин у закладі вищої освіти; </w:t>
      </w:r>
    </w:p>
    <w:p w:rsidR="0059754D" w:rsidRDefault="00543F00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54D">
        <w:rPr>
          <w:rFonts w:ascii="Times New Roman" w:hAnsi="Times New Roman" w:cs="Times New Roman"/>
          <w:sz w:val="28"/>
          <w:szCs w:val="28"/>
          <w:lang w:val="uk-UA"/>
        </w:rPr>
        <w:t xml:space="preserve">надання консультаційних послуг із формування культури академічної доброчесності в структурних підрозділах </w:t>
      </w:r>
      <w:r w:rsidR="0059754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5975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і наукового спрямування; </w:t>
      </w:r>
    </w:p>
    <w:p w:rsidR="0059754D" w:rsidRPr="008A39ED" w:rsidRDefault="0059754D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ініціювання, координація та </w:t>
      </w:r>
      <w:r w:rsidR="00543F00"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наукових досліджень за тематикою академічної доброчесності;</w:t>
      </w:r>
    </w:p>
    <w:p w:rsidR="0039039D" w:rsidRPr="008A39ED" w:rsidRDefault="0059754D" w:rsidP="0059754D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>розробка інформаційних</w:t>
      </w:r>
      <w:r w:rsidR="00543F00"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Pr="008A39E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43F00"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 (пам’яток, дорожніх карт тощо) з питань академічної доброчесності та етики академічних взаємовідносин.</w:t>
      </w:r>
    </w:p>
    <w:p w:rsidR="00F72F89" w:rsidRPr="008A39ED" w:rsidRDefault="00F72F89" w:rsidP="0059754D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Положення про групу сприяння дотримання  академічної доброчесності  </w:t>
      </w:r>
      <w:r w:rsidR="0059754D" w:rsidRPr="008A39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атверджується Вченою Радою Університету. </w:t>
      </w:r>
    </w:p>
    <w:p w:rsidR="0039039D" w:rsidRPr="008A39ED" w:rsidRDefault="0039039D" w:rsidP="0039039D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EF" w:rsidRPr="008A39ED" w:rsidRDefault="009B465F" w:rsidP="00A22BDD">
      <w:pPr>
        <w:pStyle w:val="a3"/>
        <w:numPr>
          <w:ilvl w:val="0"/>
          <w:numId w:val="4"/>
        </w:numPr>
        <w:tabs>
          <w:tab w:val="left" w:pos="851"/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>ПРИКІНЦЕВІ ПОЛОЖЕННЯ</w:t>
      </w:r>
    </w:p>
    <w:p w:rsidR="00A6746E" w:rsidRPr="008A39ED" w:rsidRDefault="00A6746E" w:rsidP="00A6746E">
      <w:pPr>
        <w:pStyle w:val="a3"/>
        <w:tabs>
          <w:tab w:val="left" w:pos="851"/>
          <w:tab w:val="left" w:pos="1560"/>
          <w:tab w:val="left" w:pos="1843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46E" w:rsidRPr="008A39ED" w:rsidRDefault="008A5581" w:rsidP="00A6746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Кодекс обговорюється та </w:t>
      </w:r>
      <w:r w:rsidR="00405A84" w:rsidRPr="008A39ED">
        <w:rPr>
          <w:rFonts w:ascii="Times New Roman" w:hAnsi="Times New Roman" w:cs="Times New Roman"/>
          <w:sz w:val="28"/>
          <w:szCs w:val="28"/>
          <w:lang w:val="uk-UA"/>
        </w:rPr>
        <w:t>схвал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>юється на засіданні Вченої Ради</w:t>
      </w:r>
      <w:r w:rsidR="00405A84" w:rsidRPr="008A39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46E" w:rsidRPr="008A39ED" w:rsidRDefault="008A5581" w:rsidP="00A6746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Зміни і доповнення до Кодексу вносяться у тому ж порядку. </w:t>
      </w:r>
    </w:p>
    <w:p w:rsidR="008A5581" w:rsidRPr="008A39ED" w:rsidRDefault="008A5581" w:rsidP="00A6746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Кодекс розміщується в електронному </w:t>
      </w:r>
      <w:r w:rsidR="00AF6E68" w:rsidRPr="008A39ED">
        <w:rPr>
          <w:rFonts w:ascii="Times New Roman" w:hAnsi="Times New Roman" w:cs="Times New Roman"/>
          <w:sz w:val="28"/>
          <w:szCs w:val="28"/>
          <w:lang w:val="uk-UA"/>
        </w:rPr>
        <w:t>вигляді на сайті Університету в розділі, що  містить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68" w:rsidRPr="008A39ED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A22B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6E68"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нормативну базу діяльності Університету</w:t>
      </w:r>
      <w:r w:rsidRPr="008A3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5581" w:rsidRPr="008A5581" w:rsidRDefault="008A5581" w:rsidP="008A5581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</w:p>
    <w:p w:rsidR="00F163D9" w:rsidRPr="00A6746E" w:rsidRDefault="00F163D9" w:rsidP="00A6746E">
      <w:pPr>
        <w:jc w:val="both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</w:p>
    <w:sectPr w:rsidR="00F163D9" w:rsidRPr="00A6746E" w:rsidSect="006E60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7D" w:rsidRDefault="000F217D" w:rsidP="002C06B2">
      <w:pPr>
        <w:spacing w:after="0" w:line="240" w:lineRule="auto"/>
      </w:pPr>
      <w:r>
        <w:separator/>
      </w:r>
    </w:p>
  </w:endnote>
  <w:endnote w:type="continuationSeparator" w:id="0">
    <w:p w:rsidR="000F217D" w:rsidRDefault="000F217D" w:rsidP="002C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16948"/>
      <w:docPartObj>
        <w:docPartGallery w:val="Page Numbers (Bottom of Page)"/>
        <w:docPartUnique/>
      </w:docPartObj>
    </w:sdtPr>
    <w:sdtEndPr/>
    <w:sdtContent>
      <w:p w:rsidR="002C06B2" w:rsidRDefault="002C06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4AA">
          <w:rPr>
            <w:noProof/>
          </w:rPr>
          <w:t>3</w:t>
        </w:r>
        <w:r>
          <w:fldChar w:fldCharType="end"/>
        </w:r>
      </w:p>
    </w:sdtContent>
  </w:sdt>
  <w:p w:rsidR="002C06B2" w:rsidRDefault="002C06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7D" w:rsidRDefault="000F217D" w:rsidP="002C06B2">
      <w:pPr>
        <w:spacing w:after="0" w:line="240" w:lineRule="auto"/>
      </w:pPr>
      <w:r>
        <w:separator/>
      </w:r>
    </w:p>
  </w:footnote>
  <w:footnote w:type="continuationSeparator" w:id="0">
    <w:p w:rsidR="000F217D" w:rsidRDefault="000F217D" w:rsidP="002C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4EB"/>
    <w:multiLevelType w:val="multilevel"/>
    <w:tmpl w:val="F9387D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6DA0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D91C26"/>
    <w:multiLevelType w:val="hybridMultilevel"/>
    <w:tmpl w:val="59E64138"/>
    <w:lvl w:ilvl="0" w:tplc="8154FF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E8966F8"/>
    <w:multiLevelType w:val="hybridMultilevel"/>
    <w:tmpl w:val="DF0EC340"/>
    <w:lvl w:ilvl="0" w:tplc="8C5AD43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D4E4D2B"/>
    <w:multiLevelType w:val="hybridMultilevel"/>
    <w:tmpl w:val="2312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E6E0A"/>
    <w:multiLevelType w:val="hybridMultilevel"/>
    <w:tmpl w:val="94AE4B5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CC"/>
    <w:rsid w:val="00013AEF"/>
    <w:rsid w:val="00022CF3"/>
    <w:rsid w:val="000469CE"/>
    <w:rsid w:val="000A2BDC"/>
    <w:rsid w:val="000A44B5"/>
    <w:rsid w:val="000C50EE"/>
    <w:rsid w:val="000F217D"/>
    <w:rsid w:val="001B1706"/>
    <w:rsid w:val="002C06B2"/>
    <w:rsid w:val="002C6805"/>
    <w:rsid w:val="002F1E0C"/>
    <w:rsid w:val="003406CC"/>
    <w:rsid w:val="0039039D"/>
    <w:rsid w:val="003E0BEF"/>
    <w:rsid w:val="00405A84"/>
    <w:rsid w:val="00454626"/>
    <w:rsid w:val="00486A9F"/>
    <w:rsid w:val="00490022"/>
    <w:rsid w:val="004C2B20"/>
    <w:rsid w:val="004C56DB"/>
    <w:rsid w:val="00530E4B"/>
    <w:rsid w:val="00543F00"/>
    <w:rsid w:val="00544357"/>
    <w:rsid w:val="0059754D"/>
    <w:rsid w:val="005F2C16"/>
    <w:rsid w:val="00664A0B"/>
    <w:rsid w:val="006801BF"/>
    <w:rsid w:val="00680997"/>
    <w:rsid w:val="006B774F"/>
    <w:rsid w:val="006E600A"/>
    <w:rsid w:val="00733490"/>
    <w:rsid w:val="00777038"/>
    <w:rsid w:val="00790529"/>
    <w:rsid w:val="007F34AA"/>
    <w:rsid w:val="007F6E6A"/>
    <w:rsid w:val="00817458"/>
    <w:rsid w:val="008307BF"/>
    <w:rsid w:val="00833B0C"/>
    <w:rsid w:val="00840966"/>
    <w:rsid w:val="00844BC7"/>
    <w:rsid w:val="008466B1"/>
    <w:rsid w:val="008A39ED"/>
    <w:rsid w:val="008A5581"/>
    <w:rsid w:val="008C5AC3"/>
    <w:rsid w:val="008C7724"/>
    <w:rsid w:val="009830C5"/>
    <w:rsid w:val="00993288"/>
    <w:rsid w:val="009B465F"/>
    <w:rsid w:val="009E2700"/>
    <w:rsid w:val="00A22BDD"/>
    <w:rsid w:val="00A23918"/>
    <w:rsid w:val="00A478A6"/>
    <w:rsid w:val="00A6746E"/>
    <w:rsid w:val="00AE4ADC"/>
    <w:rsid w:val="00AF48F3"/>
    <w:rsid w:val="00AF6E68"/>
    <w:rsid w:val="00B6621A"/>
    <w:rsid w:val="00B9163C"/>
    <w:rsid w:val="00BA667A"/>
    <w:rsid w:val="00BD12A2"/>
    <w:rsid w:val="00C311BA"/>
    <w:rsid w:val="00C71230"/>
    <w:rsid w:val="00C71F1A"/>
    <w:rsid w:val="00C87ADD"/>
    <w:rsid w:val="00CB210D"/>
    <w:rsid w:val="00CC382B"/>
    <w:rsid w:val="00D2229C"/>
    <w:rsid w:val="00D83E9A"/>
    <w:rsid w:val="00DE0C35"/>
    <w:rsid w:val="00ED0601"/>
    <w:rsid w:val="00ED1DEA"/>
    <w:rsid w:val="00ED3D7C"/>
    <w:rsid w:val="00EE31CB"/>
    <w:rsid w:val="00F038EC"/>
    <w:rsid w:val="00F12C33"/>
    <w:rsid w:val="00F163D9"/>
    <w:rsid w:val="00F72F89"/>
    <w:rsid w:val="00F83953"/>
    <w:rsid w:val="00FB4455"/>
    <w:rsid w:val="00FD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CC"/>
    <w:pPr>
      <w:ind w:left="720"/>
      <w:contextualSpacing/>
    </w:pPr>
  </w:style>
  <w:style w:type="table" w:styleId="a4">
    <w:name w:val="Table Grid"/>
    <w:basedOn w:val="a1"/>
    <w:uiPriority w:val="39"/>
    <w:rsid w:val="00ED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ий текст_"/>
    <w:link w:val="1"/>
    <w:uiPriority w:val="99"/>
    <w:locked/>
    <w:rsid w:val="009E270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ий текст + Напівжирний"/>
    <w:uiPriority w:val="99"/>
    <w:rsid w:val="009E270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">
    <w:name w:val="Основний текст1"/>
    <w:basedOn w:val="a"/>
    <w:link w:val="a5"/>
    <w:uiPriority w:val="99"/>
    <w:rsid w:val="009E270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№4_"/>
    <w:link w:val="40"/>
    <w:uiPriority w:val="99"/>
    <w:locked/>
    <w:rsid w:val="009932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93288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2C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6B2"/>
  </w:style>
  <w:style w:type="paragraph" w:styleId="a9">
    <w:name w:val="footer"/>
    <w:basedOn w:val="a"/>
    <w:link w:val="aa"/>
    <w:uiPriority w:val="99"/>
    <w:unhideWhenUsed/>
    <w:rsid w:val="002C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Гаращенко</dc:creator>
  <cp:lastModifiedBy>Radomski</cp:lastModifiedBy>
  <cp:revision>4</cp:revision>
  <dcterms:created xsi:type="dcterms:W3CDTF">2020-02-03T07:49:00Z</dcterms:created>
  <dcterms:modified xsi:type="dcterms:W3CDTF">2020-02-03T10:02:00Z</dcterms:modified>
</cp:coreProperties>
</file>